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0E" w:rsidRPr="0046360E" w:rsidRDefault="0046360E" w:rsidP="0046360E">
      <w:pPr>
        <w:spacing w:line="360" w:lineRule="auto"/>
        <w:ind w:firstLine="720"/>
        <w:jc w:val="center"/>
        <w:rPr>
          <w:b/>
          <w:bCs/>
          <w:highlight w:val="red"/>
        </w:rPr>
      </w:pPr>
      <w:r w:rsidRPr="0046360E">
        <w:rPr>
          <w:b/>
          <w:bCs/>
          <w:highlight w:val="red"/>
        </w:rPr>
        <w:t>ОБЯЗАТЕЛЬНО УКАЗАНИЕ ИНФОРМАЦИИ О ГРАНТАХ:</w:t>
      </w:r>
    </w:p>
    <w:p w:rsidR="0046360E" w:rsidRDefault="0046360E" w:rsidP="0046360E">
      <w:pPr>
        <w:spacing w:line="360" w:lineRule="auto"/>
        <w:ind w:firstLine="720"/>
        <w:jc w:val="center"/>
        <w:rPr>
          <w:b/>
          <w:bCs/>
          <w:color w:val="000000"/>
          <w:highlight w:val="yellow"/>
        </w:rPr>
      </w:pPr>
    </w:p>
    <w:p w:rsidR="0046360E" w:rsidRPr="000164CC" w:rsidRDefault="0046360E" w:rsidP="0046360E">
      <w:pPr>
        <w:spacing w:line="360" w:lineRule="auto"/>
        <w:ind w:firstLine="720"/>
        <w:jc w:val="center"/>
        <w:rPr>
          <w:b/>
          <w:bCs/>
          <w:color w:val="000000"/>
        </w:rPr>
      </w:pPr>
      <w:r w:rsidRPr="000164CC">
        <w:rPr>
          <w:b/>
          <w:bCs/>
          <w:color w:val="000000"/>
          <w:highlight w:val="yellow"/>
        </w:rPr>
        <w:t xml:space="preserve">Исследование выполняется при финансовой поддержке </w:t>
      </w:r>
      <w:r>
        <w:rPr>
          <w:b/>
          <w:bCs/>
          <w:color w:val="000000"/>
          <w:highlight w:val="yellow"/>
        </w:rPr>
        <w:t>РНФ</w:t>
      </w:r>
      <w:r w:rsidRPr="000164CC">
        <w:rPr>
          <w:b/>
          <w:bCs/>
          <w:color w:val="000000"/>
          <w:highlight w:val="yellow"/>
        </w:rPr>
        <w:t xml:space="preserve"> в рамках научного проекта № </w:t>
      </w:r>
      <w:r w:rsidRPr="0046360E">
        <w:rPr>
          <w:b/>
          <w:bCs/>
          <w:color w:val="000000"/>
          <w:highlight w:val="yellow"/>
        </w:rPr>
        <w:t>17-18-01610</w:t>
      </w:r>
    </w:p>
    <w:p w:rsidR="00914EEE" w:rsidRDefault="00914EEE" w:rsidP="0046360E">
      <w:pPr>
        <w:spacing w:line="360" w:lineRule="auto"/>
        <w:ind w:firstLine="720"/>
        <w:rPr>
          <w:b/>
          <w:bCs/>
          <w:color w:val="000000"/>
          <w:highlight w:val="yellow"/>
        </w:rPr>
      </w:pPr>
    </w:p>
    <w:p w:rsidR="0046360E" w:rsidRPr="000164CC" w:rsidRDefault="0046360E" w:rsidP="0046360E">
      <w:pPr>
        <w:spacing w:line="360" w:lineRule="auto"/>
        <w:ind w:firstLine="720"/>
        <w:jc w:val="center"/>
        <w:rPr>
          <w:b/>
          <w:bCs/>
          <w:color w:val="000000"/>
        </w:rPr>
      </w:pPr>
      <w:r w:rsidRPr="000164CC">
        <w:rPr>
          <w:b/>
          <w:bCs/>
          <w:color w:val="000000"/>
          <w:highlight w:val="yellow"/>
        </w:rPr>
        <w:t xml:space="preserve">Исследование выполняется при финансовой поддержке </w:t>
      </w:r>
      <w:r>
        <w:rPr>
          <w:b/>
          <w:bCs/>
          <w:color w:val="000000"/>
          <w:highlight w:val="yellow"/>
        </w:rPr>
        <w:t>РФФИ (</w:t>
      </w:r>
      <w:r w:rsidRPr="000164CC">
        <w:rPr>
          <w:b/>
          <w:bCs/>
          <w:color w:val="000000"/>
          <w:highlight w:val="yellow"/>
        </w:rPr>
        <w:t>РГНФ</w:t>
      </w:r>
      <w:r>
        <w:rPr>
          <w:b/>
          <w:bCs/>
          <w:color w:val="000000"/>
          <w:highlight w:val="yellow"/>
        </w:rPr>
        <w:t>)</w:t>
      </w:r>
      <w:r w:rsidRPr="000164CC">
        <w:rPr>
          <w:b/>
          <w:bCs/>
          <w:color w:val="000000"/>
          <w:highlight w:val="yellow"/>
        </w:rPr>
        <w:t xml:space="preserve"> в рамках научного проекта № 16-16-18013а(р)</w:t>
      </w:r>
    </w:p>
    <w:p w:rsidR="00914EEE" w:rsidRDefault="00914EEE" w:rsidP="0028508F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/>
        </w:rPr>
      </w:pPr>
    </w:p>
    <w:p w:rsidR="00914EEE" w:rsidRDefault="00914EEE" w:rsidP="0028508F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/>
        </w:rPr>
      </w:pPr>
    </w:p>
    <w:p w:rsidR="0028508F" w:rsidRPr="00FF0E5A" w:rsidRDefault="0028508F" w:rsidP="0028508F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/>
        </w:rPr>
      </w:pPr>
      <w:r w:rsidRPr="00FF0E5A">
        <w:rPr>
          <w:rFonts w:eastAsia="MinionPro-Regular"/>
          <w:sz w:val="22"/>
          <w:szCs w:val="22"/>
          <w:lang w:eastAsia="ru-RU"/>
        </w:rPr>
        <w:t xml:space="preserve">УДК </w:t>
      </w:r>
      <w:r>
        <w:rPr>
          <w:rFonts w:eastAsia="MinionPro-Regular"/>
          <w:sz w:val="22"/>
          <w:szCs w:val="22"/>
          <w:lang w:eastAsia="ru-RU"/>
        </w:rPr>
        <w:t>159.9.07</w:t>
      </w:r>
    </w:p>
    <w:p w:rsidR="0028508F" w:rsidRPr="00FF0E5A" w:rsidRDefault="0028508F" w:rsidP="0028508F">
      <w:pPr>
        <w:suppressAutoHyphens w:val="0"/>
        <w:autoSpaceDE w:val="0"/>
        <w:autoSpaceDN w:val="0"/>
        <w:adjustRightInd w:val="0"/>
        <w:rPr>
          <w:rFonts w:eastAsia="MinionPro-Regular"/>
          <w:b/>
          <w:bCs/>
          <w:sz w:val="22"/>
          <w:szCs w:val="22"/>
          <w:lang w:eastAsia="ru-RU"/>
        </w:rPr>
      </w:pPr>
      <w:r>
        <w:rPr>
          <w:rFonts w:eastAsia="MinionPro-Regular"/>
          <w:b/>
          <w:bCs/>
          <w:sz w:val="22"/>
          <w:szCs w:val="22"/>
          <w:lang w:eastAsia="ru-RU"/>
        </w:rPr>
        <w:t>Кожевникова Оксана Вячеславовна</w:t>
      </w:r>
    </w:p>
    <w:p w:rsidR="0028508F" w:rsidRPr="00FF0E5A" w:rsidRDefault="0028508F" w:rsidP="0028508F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/>
        </w:rPr>
      </w:pPr>
      <w:r w:rsidRPr="00FF0E5A">
        <w:rPr>
          <w:rFonts w:eastAsia="MinionPro-Regular"/>
          <w:sz w:val="22"/>
          <w:szCs w:val="22"/>
          <w:lang w:eastAsia="ru-RU"/>
        </w:rPr>
        <w:t>кандидат п</w:t>
      </w:r>
      <w:r>
        <w:rPr>
          <w:rFonts w:eastAsia="MinionPro-Regular"/>
          <w:sz w:val="22"/>
          <w:szCs w:val="22"/>
          <w:lang w:eastAsia="ru-RU"/>
        </w:rPr>
        <w:t>сихологи</w:t>
      </w:r>
      <w:r w:rsidRPr="00FF0E5A">
        <w:rPr>
          <w:rFonts w:eastAsia="MinionPro-Regular"/>
          <w:sz w:val="22"/>
          <w:szCs w:val="22"/>
          <w:lang w:eastAsia="ru-RU"/>
        </w:rPr>
        <w:t>ческих наук,</w:t>
      </w:r>
    </w:p>
    <w:p w:rsidR="0028508F" w:rsidRPr="00FF0E5A" w:rsidRDefault="0028508F" w:rsidP="0028508F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/>
        </w:rPr>
      </w:pPr>
      <w:r>
        <w:rPr>
          <w:rFonts w:eastAsia="MinionPro-Regular"/>
          <w:sz w:val="22"/>
          <w:szCs w:val="22"/>
          <w:lang w:eastAsia="ru-RU"/>
        </w:rPr>
        <w:t xml:space="preserve">доцент кафедры общей </w:t>
      </w:r>
      <w:r w:rsidRPr="00FF0E5A">
        <w:rPr>
          <w:rFonts w:eastAsia="MinionPro-Regular"/>
          <w:sz w:val="22"/>
          <w:szCs w:val="22"/>
          <w:lang w:eastAsia="ru-RU"/>
        </w:rPr>
        <w:t xml:space="preserve">психологии </w:t>
      </w:r>
    </w:p>
    <w:p w:rsidR="0028508F" w:rsidRPr="00FF0E5A" w:rsidRDefault="0028508F" w:rsidP="0028508F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/>
        </w:rPr>
      </w:pPr>
      <w:r w:rsidRPr="00FF0E5A">
        <w:rPr>
          <w:rFonts w:eastAsia="MinionPro-Regular"/>
          <w:sz w:val="22"/>
          <w:szCs w:val="22"/>
          <w:lang w:eastAsia="ru-RU"/>
        </w:rPr>
        <w:t xml:space="preserve">ФГБОУ ВО </w:t>
      </w:r>
      <w:proofErr w:type="spellStart"/>
      <w:r>
        <w:rPr>
          <w:rFonts w:ascii="Cambria Math" w:eastAsia="MinionPro-Regular" w:hAnsi="Cambria Math" w:cs="Cambria Math"/>
          <w:sz w:val="22"/>
          <w:szCs w:val="22"/>
          <w:lang w:eastAsia="ru-RU"/>
        </w:rPr>
        <w:t>УдГУ</w:t>
      </w:r>
      <w:proofErr w:type="spellEnd"/>
    </w:p>
    <w:p w:rsidR="0028508F" w:rsidRPr="00FF0E5A" w:rsidRDefault="0028508F" w:rsidP="0028508F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/>
        </w:rPr>
      </w:pPr>
      <w:r w:rsidRPr="00FF0E5A">
        <w:rPr>
          <w:rFonts w:eastAsia="MinionPro-Regular"/>
          <w:sz w:val="22"/>
          <w:szCs w:val="22"/>
          <w:lang w:eastAsia="ru-RU"/>
        </w:rPr>
        <w:t xml:space="preserve">Россия, г. </w:t>
      </w:r>
      <w:r>
        <w:rPr>
          <w:rFonts w:eastAsia="MinionPro-Regular"/>
          <w:sz w:val="22"/>
          <w:szCs w:val="22"/>
          <w:lang w:eastAsia="ru-RU"/>
        </w:rPr>
        <w:t>Ижевск</w:t>
      </w:r>
    </w:p>
    <w:p w:rsidR="0028508F" w:rsidRPr="0028508F" w:rsidRDefault="0028508F" w:rsidP="0028508F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/>
        </w:rPr>
      </w:pPr>
      <w:r>
        <w:rPr>
          <w:rFonts w:eastAsia="MinionPro-Regular"/>
          <w:sz w:val="22"/>
          <w:szCs w:val="22"/>
          <w:lang w:eastAsia="ru-RU"/>
        </w:rPr>
        <w:t>oxana.kozhevnikova@gmail.com</w:t>
      </w:r>
    </w:p>
    <w:p w:rsidR="0028508F" w:rsidRPr="0028508F" w:rsidRDefault="0028508F" w:rsidP="0028508F">
      <w:pPr>
        <w:suppressAutoHyphens w:val="0"/>
        <w:autoSpaceDE w:val="0"/>
        <w:autoSpaceDN w:val="0"/>
        <w:adjustRightInd w:val="0"/>
        <w:rPr>
          <w:rFonts w:eastAsia="MinionPro-Regular"/>
          <w:b/>
          <w:bCs/>
          <w:sz w:val="22"/>
          <w:szCs w:val="22"/>
          <w:lang w:val="en-US" w:eastAsia="ru-RU"/>
        </w:rPr>
      </w:pPr>
      <w:proofErr w:type="spellStart"/>
      <w:r>
        <w:rPr>
          <w:rFonts w:eastAsia="MinionPro-Regular"/>
          <w:b/>
          <w:bCs/>
          <w:sz w:val="22"/>
          <w:szCs w:val="22"/>
          <w:lang w:val="en-US" w:eastAsia="ru-RU"/>
        </w:rPr>
        <w:t>Kozhevnikova</w:t>
      </w:r>
      <w:proofErr w:type="spellEnd"/>
      <w:r>
        <w:rPr>
          <w:rFonts w:eastAsia="MinionPro-Regular"/>
          <w:b/>
          <w:bCs/>
          <w:sz w:val="22"/>
          <w:szCs w:val="22"/>
          <w:lang w:val="en-US" w:eastAsia="ru-RU"/>
        </w:rPr>
        <w:t xml:space="preserve"> Oksana V.</w:t>
      </w:r>
    </w:p>
    <w:p w:rsidR="0028508F" w:rsidRDefault="0028508F" w:rsidP="0028508F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en-US" w:eastAsia="ru-RU"/>
        </w:rPr>
      </w:pPr>
      <w:r>
        <w:rPr>
          <w:rFonts w:eastAsia="MinionPro-Regular"/>
          <w:sz w:val="22"/>
          <w:szCs w:val="22"/>
          <w:lang w:val="en-US" w:eastAsia="ru-RU"/>
        </w:rPr>
        <w:t xml:space="preserve">Udmurt State </w:t>
      </w:r>
      <w:r w:rsidRPr="0028508F">
        <w:rPr>
          <w:rFonts w:eastAsia="MinionPro-Regular"/>
          <w:sz w:val="22"/>
          <w:szCs w:val="22"/>
          <w:lang w:val="en-US" w:eastAsia="ru-RU"/>
        </w:rPr>
        <w:t>University</w:t>
      </w:r>
    </w:p>
    <w:p w:rsidR="0028508F" w:rsidRDefault="0028508F" w:rsidP="0028508F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en-US" w:eastAsia="ru-RU"/>
        </w:rPr>
      </w:pPr>
      <w:r>
        <w:rPr>
          <w:rFonts w:eastAsia="MinionPro-Regular"/>
          <w:sz w:val="22"/>
          <w:szCs w:val="22"/>
          <w:lang w:val="en-US" w:eastAsia="ru-RU"/>
        </w:rPr>
        <w:t>Russia, Izhevsk</w:t>
      </w:r>
    </w:p>
    <w:p w:rsidR="00A37342" w:rsidRPr="0028508F" w:rsidRDefault="00A37342" w:rsidP="00A37342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/>
        </w:rPr>
      </w:pPr>
      <w:r>
        <w:rPr>
          <w:rFonts w:eastAsia="MinionPro-Regular"/>
          <w:sz w:val="22"/>
          <w:szCs w:val="22"/>
          <w:lang w:eastAsia="ru-RU"/>
        </w:rPr>
        <w:t>oxana.kozhevnikova@gmail.com</w:t>
      </w:r>
    </w:p>
    <w:p w:rsidR="00A37342" w:rsidRPr="0028508F" w:rsidRDefault="00A37342" w:rsidP="0028508F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en-US" w:eastAsia="ru-RU"/>
        </w:rPr>
      </w:pPr>
    </w:p>
    <w:p w:rsidR="0028508F" w:rsidRPr="0028508F" w:rsidRDefault="0028508F" w:rsidP="0028508F">
      <w:pPr>
        <w:ind w:firstLine="709"/>
        <w:contextualSpacing/>
        <w:jc w:val="center"/>
        <w:rPr>
          <w:rFonts w:eastAsia="MinionPro-Regular"/>
          <w:sz w:val="22"/>
          <w:szCs w:val="22"/>
          <w:lang w:val="en-US" w:eastAsia="ru-RU"/>
        </w:rPr>
      </w:pPr>
    </w:p>
    <w:p w:rsidR="00450F4E" w:rsidRPr="00186AD1" w:rsidRDefault="00186AD1" w:rsidP="0028508F">
      <w:pPr>
        <w:ind w:firstLine="709"/>
        <w:contextualSpacing/>
        <w:jc w:val="center"/>
        <w:rPr>
          <w:b/>
          <w:szCs w:val="28"/>
        </w:rPr>
      </w:pPr>
      <w:r w:rsidRPr="00186AD1">
        <w:rPr>
          <w:b/>
          <w:szCs w:val="28"/>
        </w:rPr>
        <w:t xml:space="preserve">ПСИХОСЕМАНТИЧЕСКИЙ АНАЛИЗ ВОСПРИЯТИЯ ВРЕМЕНИ ВТОРОКУРСНИКАМИ СО СКЛОННОСТЬЮ К </w:t>
      </w:r>
      <w:r w:rsidR="00BB2960">
        <w:rPr>
          <w:b/>
          <w:szCs w:val="28"/>
        </w:rPr>
        <w:t xml:space="preserve">АКАДЕМИЧЕСКОЙ </w:t>
      </w:r>
      <w:r w:rsidRPr="00186AD1">
        <w:rPr>
          <w:b/>
          <w:szCs w:val="28"/>
        </w:rPr>
        <w:t>ПРОКРАСТИНАЦИИ</w:t>
      </w:r>
    </w:p>
    <w:p w:rsidR="00186AD1" w:rsidRDefault="00186AD1" w:rsidP="00186AD1">
      <w:pPr>
        <w:ind w:firstLine="709"/>
        <w:contextualSpacing/>
        <w:jc w:val="both"/>
        <w:rPr>
          <w:szCs w:val="28"/>
        </w:rPr>
      </w:pPr>
    </w:p>
    <w:p w:rsidR="00930A8B" w:rsidRDefault="00930A8B" w:rsidP="00930A8B">
      <w:pPr>
        <w:ind w:firstLine="709"/>
        <w:contextualSpacing/>
        <w:jc w:val="center"/>
        <w:rPr>
          <w:b/>
          <w:szCs w:val="28"/>
          <w:lang w:val="en-US"/>
        </w:rPr>
      </w:pPr>
      <w:r w:rsidRPr="00930A8B">
        <w:rPr>
          <w:b/>
          <w:szCs w:val="28"/>
          <w:lang w:val="en-US"/>
        </w:rPr>
        <w:t>PSYCHOSEMANTIC ANALYSIS OF TIME PERCEPTION OF SOPHOMORES INCLINED TO ACADEMIC PROCRASTINATION</w:t>
      </w:r>
    </w:p>
    <w:p w:rsidR="0047578B" w:rsidRDefault="0047578B" w:rsidP="00930A8B">
      <w:pPr>
        <w:ind w:firstLine="709"/>
        <w:contextualSpacing/>
        <w:jc w:val="center"/>
        <w:rPr>
          <w:b/>
          <w:szCs w:val="28"/>
          <w:lang w:val="en-US"/>
        </w:rPr>
      </w:pPr>
    </w:p>
    <w:p w:rsidR="0047578B" w:rsidRDefault="0047578B" w:rsidP="00930A8B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47578B" w:rsidRDefault="00DC782F" w:rsidP="00DC782F">
      <w:pPr>
        <w:ind w:firstLine="709"/>
        <w:jc w:val="both"/>
        <w:rPr>
          <w:rFonts w:eastAsia="Times New Roman"/>
          <w:lang w:eastAsia="en-US"/>
        </w:rPr>
      </w:pPr>
      <w:r w:rsidRPr="00DC782F">
        <w:rPr>
          <w:szCs w:val="28"/>
        </w:rPr>
        <w:t>В статье представлены результаты эмпирического исследования особенностей восприятия времени студентами второго года обучения с наличием и отсутствием склонности к академической прокраст</w:t>
      </w:r>
      <w:r w:rsidR="009171FB">
        <w:rPr>
          <w:szCs w:val="28"/>
        </w:rPr>
        <w:t xml:space="preserve">инации, понимаемой как откладывание решения промежуточных и итоговых учебных задач на более поздние сроки, снижающее эффективность учебной деятельности. Установлено, что </w:t>
      </w:r>
      <w:r w:rsidR="009171FB" w:rsidRPr="000378E7">
        <w:rPr>
          <w:bCs/>
          <w:iCs/>
          <w:color w:val="000000"/>
          <w:szCs w:val="28"/>
        </w:rPr>
        <w:t>число второкурсников-</w:t>
      </w:r>
      <w:proofErr w:type="spellStart"/>
      <w:r w:rsidR="009171FB" w:rsidRPr="000378E7">
        <w:rPr>
          <w:bCs/>
          <w:iCs/>
          <w:color w:val="000000"/>
          <w:szCs w:val="28"/>
        </w:rPr>
        <w:t>прокрастинаторов</w:t>
      </w:r>
      <w:proofErr w:type="spellEnd"/>
      <w:r w:rsidR="009171FB" w:rsidRPr="000378E7">
        <w:rPr>
          <w:bCs/>
          <w:iCs/>
          <w:color w:val="000000"/>
          <w:szCs w:val="28"/>
        </w:rPr>
        <w:t xml:space="preserve"> в полтора раза превышает количество студентов, не </w:t>
      </w:r>
      <w:r w:rsidR="009171FB">
        <w:rPr>
          <w:bCs/>
          <w:iCs/>
          <w:color w:val="000000"/>
          <w:szCs w:val="28"/>
        </w:rPr>
        <w:t>склонных к академической прокрастинации</w:t>
      </w:r>
      <w:r w:rsidR="009171FB" w:rsidRPr="000378E7">
        <w:rPr>
          <w:bCs/>
          <w:iCs/>
          <w:color w:val="000000"/>
          <w:szCs w:val="28"/>
        </w:rPr>
        <w:t xml:space="preserve">. </w:t>
      </w:r>
      <w:r w:rsidR="009171FB">
        <w:rPr>
          <w:szCs w:val="28"/>
        </w:rPr>
        <w:t>Анализ</w:t>
      </w:r>
      <w:r w:rsidR="002F394F">
        <w:rPr>
          <w:szCs w:val="28"/>
        </w:rPr>
        <w:t xml:space="preserve"> особенностей восприятия времени осуществлялся</w:t>
      </w:r>
      <w:r w:rsidR="009171FB">
        <w:rPr>
          <w:szCs w:val="28"/>
        </w:rPr>
        <w:t xml:space="preserve"> с позиций </w:t>
      </w:r>
      <w:proofErr w:type="spellStart"/>
      <w:r w:rsidR="009171FB">
        <w:rPr>
          <w:szCs w:val="28"/>
        </w:rPr>
        <w:t>психосемантического</w:t>
      </w:r>
      <w:proofErr w:type="spellEnd"/>
      <w:r w:rsidR="009171FB">
        <w:rPr>
          <w:szCs w:val="28"/>
        </w:rPr>
        <w:t xml:space="preserve"> подхода, ориентированного на реконструкцию индивидуальной системы значений, через призму которой происходит восприятие субъектом мира. </w:t>
      </w:r>
      <w:r w:rsidR="002F394F">
        <w:rPr>
          <w:szCs w:val="28"/>
        </w:rPr>
        <w:t xml:space="preserve">Для исследовательских целей был разработан специализированный семантический дифференциал: </w:t>
      </w:r>
      <w:r w:rsidR="002F394F">
        <w:t>объекты оценивания выделялись на основании</w:t>
      </w:r>
      <w:r w:rsidR="002F394F" w:rsidRPr="00186AD1">
        <w:t xml:space="preserve"> анализа феномена времени, его структуры, свойств,</w:t>
      </w:r>
      <w:r w:rsidR="002F394F">
        <w:t xml:space="preserve"> типов; оценочные шкалы отбирались</w:t>
      </w:r>
      <w:r w:rsidR="002F394F" w:rsidRPr="00186AD1">
        <w:t xml:space="preserve"> из чи</w:t>
      </w:r>
      <w:r w:rsidR="002F394F">
        <w:t>сла использованных в</w:t>
      </w:r>
      <w:r w:rsidR="002F394F" w:rsidRPr="00186AD1">
        <w:t xml:space="preserve"> </w:t>
      </w:r>
      <w:r w:rsidR="002F394F">
        <w:t xml:space="preserve">аналогичном </w:t>
      </w:r>
      <w:r w:rsidR="002F394F" w:rsidRPr="00186AD1">
        <w:t>исследовании</w:t>
      </w:r>
      <w:r w:rsidR="002F394F">
        <w:t>.</w:t>
      </w:r>
      <w:r w:rsidR="002F394F">
        <w:t xml:space="preserve"> </w:t>
      </w:r>
      <w:r w:rsidR="002F394F">
        <w:t xml:space="preserve">Итоговая матрица, включающая двадцать объектов и двадцать пять оценочных шкал, была предъявлена 116 респондентам. </w:t>
      </w:r>
      <w:r w:rsidR="009171FB">
        <w:t xml:space="preserve">В результате </w:t>
      </w:r>
      <w:proofErr w:type="spellStart"/>
      <w:r w:rsidR="002F394F">
        <w:t>факторно</w:t>
      </w:r>
      <w:proofErr w:type="spellEnd"/>
      <w:r w:rsidR="002F394F">
        <w:t xml:space="preserve">-аналитической обработки и интерпретации данных эмпирического исследования были </w:t>
      </w:r>
      <w:r w:rsidR="009171FB" w:rsidRPr="00F16631">
        <w:t>в</w:t>
      </w:r>
      <w:r w:rsidR="009171FB" w:rsidRPr="00F16631">
        <w:rPr>
          <w:rFonts w:eastAsia="Times New Roman"/>
          <w:color w:val="000000"/>
          <w:lang w:eastAsia="en-US"/>
        </w:rPr>
        <w:t xml:space="preserve">ыявлены как </w:t>
      </w:r>
      <w:r w:rsidR="009171FB" w:rsidRPr="00F16631">
        <w:rPr>
          <w:rFonts w:eastAsia="Times New Roman"/>
          <w:lang w:eastAsia="en-US"/>
        </w:rPr>
        <w:t xml:space="preserve">сходства в восприятии времени студентами </w:t>
      </w:r>
      <w:r w:rsidR="009171FB">
        <w:rPr>
          <w:rFonts w:eastAsia="Times New Roman"/>
          <w:lang w:eastAsia="en-US"/>
        </w:rPr>
        <w:t>двух подгрупп,</w:t>
      </w:r>
      <w:r w:rsidR="009171FB" w:rsidRPr="00F16631">
        <w:rPr>
          <w:rFonts w:eastAsia="Times New Roman"/>
          <w:lang w:eastAsia="en-US"/>
        </w:rPr>
        <w:t xml:space="preserve"> </w:t>
      </w:r>
      <w:r w:rsidR="009171FB" w:rsidRPr="00F16631">
        <w:rPr>
          <w:rFonts w:eastAsia="Times New Roman"/>
          <w:color w:val="000000"/>
          <w:lang w:eastAsia="en-US"/>
        </w:rPr>
        <w:t xml:space="preserve">так и </w:t>
      </w:r>
      <w:r w:rsidR="009171FB">
        <w:rPr>
          <w:rFonts w:eastAsia="Times New Roman"/>
          <w:color w:val="000000"/>
          <w:lang w:eastAsia="en-US"/>
        </w:rPr>
        <w:t xml:space="preserve">определенные </w:t>
      </w:r>
      <w:r w:rsidR="009171FB" w:rsidRPr="00F16631">
        <w:rPr>
          <w:rFonts w:eastAsia="Times New Roman"/>
          <w:color w:val="000000"/>
          <w:lang w:eastAsia="en-US"/>
        </w:rPr>
        <w:t xml:space="preserve">различия в конструктах сознания, </w:t>
      </w:r>
      <w:r w:rsidR="009171FB">
        <w:rPr>
          <w:rFonts w:eastAsia="Times New Roman"/>
          <w:color w:val="000000"/>
          <w:lang w:eastAsia="en-US"/>
        </w:rPr>
        <w:t xml:space="preserve">возможно </w:t>
      </w:r>
      <w:r w:rsidR="009171FB">
        <w:rPr>
          <w:rFonts w:eastAsia="Times New Roman"/>
          <w:lang w:eastAsia="en-US"/>
        </w:rPr>
        <w:t>способствующие развитию склонности</w:t>
      </w:r>
      <w:r w:rsidR="009171FB" w:rsidRPr="00F16631">
        <w:rPr>
          <w:rFonts w:eastAsia="Times New Roman"/>
          <w:lang w:eastAsia="en-US"/>
        </w:rPr>
        <w:t xml:space="preserve"> к академической прокрастинации.</w:t>
      </w:r>
    </w:p>
    <w:p w:rsidR="009171FB" w:rsidRPr="00DC782F" w:rsidRDefault="009171FB" w:rsidP="00DC782F">
      <w:pPr>
        <w:ind w:firstLine="709"/>
        <w:jc w:val="both"/>
        <w:rPr>
          <w:szCs w:val="28"/>
        </w:rPr>
      </w:pPr>
    </w:p>
    <w:p w:rsidR="0047578B" w:rsidRDefault="0047578B" w:rsidP="00930A8B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Ключевые слова</w:t>
      </w:r>
    </w:p>
    <w:p w:rsidR="0047578B" w:rsidRPr="0047578B" w:rsidRDefault="0047578B" w:rsidP="00930A8B">
      <w:pPr>
        <w:ind w:firstLine="709"/>
        <w:contextualSpacing/>
        <w:jc w:val="center"/>
        <w:rPr>
          <w:szCs w:val="28"/>
        </w:rPr>
      </w:pPr>
      <w:proofErr w:type="spellStart"/>
      <w:r w:rsidRPr="0047578B">
        <w:rPr>
          <w:szCs w:val="28"/>
        </w:rPr>
        <w:lastRenderedPageBreak/>
        <w:t>Психосемантика</w:t>
      </w:r>
      <w:proofErr w:type="spellEnd"/>
      <w:r w:rsidRPr="0047578B">
        <w:rPr>
          <w:szCs w:val="28"/>
        </w:rPr>
        <w:t xml:space="preserve">, </w:t>
      </w:r>
      <w:r w:rsidR="00066328">
        <w:rPr>
          <w:szCs w:val="28"/>
        </w:rPr>
        <w:t xml:space="preserve">семантический дифференциал, </w:t>
      </w:r>
      <w:r w:rsidRPr="0047578B">
        <w:rPr>
          <w:szCs w:val="28"/>
        </w:rPr>
        <w:t>восприятие времени, категории сознания, академическая прокрастинация</w:t>
      </w:r>
    </w:p>
    <w:p w:rsidR="0047578B" w:rsidRDefault="0047578B" w:rsidP="00930A8B">
      <w:pPr>
        <w:ind w:firstLine="709"/>
        <w:contextualSpacing/>
        <w:jc w:val="center"/>
        <w:rPr>
          <w:b/>
          <w:szCs w:val="28"/>
        </w:rPr>
      </w:pPr>
    </w:p>
    <w:p w:rsidR="0047578B" w:rsidRDefault="0047578B" w:rsidP="0047578B">
      <w:pPr>
        <w:ind w:firstLine="709"/>
        <w:contextualSpacing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Abstract</w:t>
      </w:r>
    </w:p>
    <w:p w:rsidR="0047578B" w:rsidRDefault="002F394F" w:rsidP="002F394F">
      <w:pPr>
        <w:ind w:firstLine="709"/>
        <w:contextualSpacing/>
        <w:jc w:val="both"/>
        <w:rPr>
          <w:szCs w:val="28"/>
          <w:lang w:val="en-US"/>
        </w:rPr>
      </w:pPr>
      <w:r>
        <w:rPr>
          <w:szCs w:val="28"/>
          <w:lang w:val="en-US"/>
        </w:rPr>
        <w:t>The results of</w:t>
      </w:r>
      <w:r w:rsidRPr="002F394F">
        <w:rPr>
          <w:szCs w:val="28"/>
          <w:lang w:val="en-US"/>
        </w:rPr>
        <w:t xml:space="preserve"> e</w:t>
      </w:r>
      <w:r>
        <w:rPr>
          <w:szCs w:val="28"/>
          <w:lang w:val="en-US"/>
        </w:rPr>
        <w:t>mpirical research of</w:t>
      </w:r>
      <w:r w:rsidRPr="002F394F">
        <w:rPr>
          <w:szCs w:val="28"/>
          <w:lang w:val="en-US"/>
        </w:rPr>
        <w:t xml:space="preserve"> perception of time by </w:t>
      </w:r>
      <w:r>
        <w:rPr>
          <w:szCs w:val="28"/>
          <w:lang w:val="en-US"/>
        </w:rPr>
        <w:t>second-</w:t>
      </w:r>
      <w:r w:rsidRPr="002F394F">
        <w:rPr>
          <w:szCs w:val="28"/>
          <w:lang w:val="en-US"/>
        </w:rPr>
        <w:t xml:space="preserve">year </w:t>
      </w:r>
      <w:r>
        <w:rPr>
          <w:szCs w:val="28"/>
          <w:lang w:val="en-US"/>
        </w:rPr>
        <w:t xml:space="preserve">students with and without tendency to </w:t>
      </w:r>
      <w:r w:rsidRPr="002F394F">
        <w:rPr>
          <w:szCs w:val="28"/>
          <w:lang w:val="en-US"/>
        </w:rPr>
        <w:t xml:space="preserve">academic procrastination </w:t>
      </w:r>
      <w:r>
        <w:rPr>
          <w:szCs w:val="28"/>
          <w:lang w:val="en-US"/>
        </w:rPr>
        <w:t>which is defined as a</w:t>
      </w:r>
      <w:r w:rsidRPr="002F394F">
        <w:rPr>
          <w:szCs w:val="28"/>
          <w:lang w:val="en-US"/>
        </w:rPr>
        <w:t xml:space="preserve"> postponement of the solution of </w:t>
      </w:r>
      <w:r>
        <w:rPr>
          <w:szCs w:val="28"/>
          <w:lang w:val="en-US"/>
        </w:rPr>
        <w:t>current</w:t>
      </w:r>
      <w:r w:rsidRPr="002F394F">
        <w:rPr>
          <w:szCs w:val="28"/>
          <w:lang w:val="en-US"/>
        </w:rPr>
        <w:t xml:space="preserve"> and </w:t>
      </w:r>
      <w:r>
        <w:rPr>
          <w:szCs w:val="28"/>
          <w:lang w:val="en-US"/>
        </w:rPr>
        <w:t>final</w:t>
      </w:r>
      <w:r w:rsidRPr="002F394F">
        <w:rPr>
          <w:szCs w:val="28"/>
          <w:lang w:val="en-US"/>
        </w:rPr>
        <w:t xml:space="preserve"> educational tasks reducing </w:t>
      </w:r>
      <w:r>
        <w:rPr>
          <w:szCs w:val="28"/>
          <w:lang w:val="en-US"/>
        </w:rPr>
        <w:t xml:space="preserve">the </w:t>
      </w:r>
      <w:r w:rsidRPr="002F394F">
        <w:rPr>
          <w:szCs w:val="28"/>
          <w:lang w:val="en-US"/>
        </w:rPr>
        <w:t xml:space="preserve">efficiency of educational activity are presented in </w:t>
      </w:r>
      <w:r>
        <w:rPr>
          <w:szCs w:val="28"/>
          <w:lang w:val="en-US"/>
        </w:rPr>
        <w:t xml:space="preserve">the </w:t>
      </w:r>
      <w:r w:rsidRPr="002F394F">
        <w:rPr>
          <w:szCs w:val="28"/>
          <w:lang w:val="en-US"/>
        </w:rPr>
        <w:t xml:space="preserve">article. It is </w:t>
      </w:r>
      <w:r>
        <w:rPr>
          <w:szCs w:val="28"/>
          <w:lang w:val="en-US"/>
        </w:rPr>
        <w:t>revealed</w:t>
      </w:r>
      <w:r w:rsidRPr="002F394F">
        <w:rPr>
          <w:szCs w:val="28"/>
          <w:lang w:val="en-US"/>
        </w:rPr>
        <w:t xml:space="preserve"> that the number of second-year students </w:t>
      </w:r>
      <w:r>
        <w:rPr>
          <w:szCs w:val="28"/>
          <w:lang w:val="en-US"/>
        </w:rPr>
        <w:t xml:space="preserve">prone to procrastination </w:t>
      </w:r>
      <w:r w:rsidR="001541D7">
        <w:rPr>
          <w:szCs w:val="28"/>
          <w:lang w:val="en-US"/>
        </w:rPr>
        <w:t xml:space="preserve">is </w:t>
      </w:r>
      <w:r w:rsidRPr="002F394F">
        <w:rPr>
          <w:szCs w:val="28"/>
          <w:lang w:val="en-US"/>
        </w:rPr>
        <w:t xml:space="preserve">one and a half times </w:t>
      </w:r>
      <w:r w:rsidR="001541D7">
        <w:rPr>
          <w:szCs w:val="28"/>
          <w:lang w:val="en-US"/>
        </w:rPr>
        <w:t>larger than the number of non-procrastinating students</w:t>
      </w:r>
      <w:r w:rsidR="00352241">
        <w:rPr>
          <w:szCs w:val="28"/>
          <w:lang w:val="en-US"/>
        </w:rPr>
        <w:t xml:space="preserve">. The analysis </w:t>
      </w:r>
      <w:r w:rsidRPr="002F394F">
        <w:rPr>
          <w:szCs w:val="28"/>
          <w:lang w:val="en-US"/>
        </w:rPr>
        <w:t xml:space="preserve">of </w:t>
      </w:r>
      <w:r w:rsidR="00352241" w:rsidRPr="002F394F">
        <w:rPr>
          <w:szCs w:val="28"/>
          <w:lang w:val="en-US"/>
        </w:rPr>
        <w:t>time</w:t>
      </w:r>
      <w:r w:rsidR="00352241" w:rsidRPr="002F394F">
        <w:rPr>
          <w:szCs w:val="28"/>
          <w:lang w:val="en-US"/>
        </w:rPr>
        <w:t xml:space="preserve"> </w:t>
      </w:r>
      <w:r w:rsidRPr="002F394F">
        <w:rPr>
          <w:szCs w:val="28"/>
          <w:lang w:val="en-US"/>
        </w:rPr>
        <w:t xml:space="preserve">perception </w:t>
      </w:r>
      <w:r w:rsidR="00352241">
        <w:rPr>
          <w:szCs w:val="28"/>
          <w:lang w:val="en-US"/>
        </w:rPr>
        <w:t xml:space="preserve">patterns </w:t>
      </w:r>
      <w:r w:rsidRPr="002F394F">
        <w:rPr>
          <w:szCs w:val="28"/>
          <w:lang w:val="en-US"/>
        </w:rPr>
        <w:t xml:space="preserve">was </w:t>
      </w:r>
      <w:r w:rsidR="00352241">
        <w:rPr>
          <w:szCs w:val="28"/>
          <w:lang w:val="en-US"/>
        </w:rPr>
        <w:t>implemented based on the principles of</w:t>
      </w:r>
      <w:r w:rsidRPr="002F394F">
        <w:rPr>
          <w:szCs w:val="28"/>
          <w:lang w:val="en-US"/>
        </w:rPr>
        <w:t xml:space="preserve"> </w:t>
      </w:r>
      <w:proofErr w:type="spellStart"/>
      <w:r w:rsidRPr="002F394F">
        <w:rPr>
          <w:szCs w:val="28"/>
          <w:lang w:val="en-US"/>
        </w:rPr>
        <w:t>psychosemantic</w:t>
      </w:r>
      <w:proofErr w:type="spellEnd"/>
      <w:r w:rsidRPr="002F394F">
        <w:rPr>
          <w:szCs w:val="28"/>
          <w:lang w:val="en-US"/>
        </w:rPr>
        <w:t xml:space="preserve"> approach focused on reconstruction of individual system of </w:t>
      </w:r>
      <w:r w:rsidR="00352241">
        <w:rPr>
          <w:szCs w:val="28"/>
          <w:lang w:val="en-US"/>
        </w:rPr>
        <w:t>meanings</w:t>
      </w:r>
      <w:r w:rsidRPr="002F394F">
        <w:rPr>
          <w:szCs w:val="28"/>
          <w:lang w:val="en-US"/>
        </w:rPr>
        <w:t xml:space="preserve"> through which </w:t>
      </w:r>
      <w:r w:rsidR="00352241">
        <w:rPr>
          <w:szCs w:val="28"/>
          <w:lang w:val="en-US"/>
        </w:rPr>
        <w:t>the subject perceives the world.</w:t>
      </w:r>
      <w:r w:rsidRPr="002F394F">
        <w:rPr>
          <w:szCs w:val="28"/>
          <w:lang w:val="en-US"/>
        </w:rPr>
        <w:t xml:space="preserve"> The specialized semantic differen</w:t>
      </w:r>
      <w:r w:rsidR="00352241">
        <w:rPr>
          <w:szCs w:val="28"/>
          <w:lang w:val="en-US"/>
        </w:rPr>
        <w:t xml:space="preserve">tial has been developed for </w:t>
      </w:r>
      <w:r w:rsidRPr="002F394F">
        <w:rPr>
          <w:szCs w:val="28"/>
          <w:lang w:val="en-US"/>
        </w:rPr>
        <w:t xml:space="preserve">research purposes: </w:t>
      </w:r>
      <w:r w:rsidR="00352241">
        <w:rPr>
          <w:szCs w:val="28"/>
          <w:lang w:val="en-US"/>
        </w:rPr>
        <w:t>objects were listed based on the analysis of the phenomenon of time, its features, structure and types;</w:t>
      </w:r>
      <w:r w:rsidRPr="002F394F">
        <w:rPr>
          <w:szCs w:val="28"/>
          <w:lang w:val="en-US"/>
        </w:rPr>
        <w:t xml:space="preserve"> rating</w:t>
      </w:r>
      <w:r w:rsidR="00352241">
        <w:rPr>
          <w:szCs w:val="28"/>
          <w:lang w:val="en-US"/>
        </w:rPr>
        <w:t xml:space="preserve"> scales were selected from the ones</w:t>
      </w:r>
      <w:r w:rsidRPr="002F394F">
        <w:rPr>
          <w:szCs w:val="28"/>
          <w:lang w:val="en-US"/>
        </w:rPr>
        <w:t xml:space="preserve"> used in a similar research. The total matrix including twenty objects </w:t>
      </w:r>
      <w:r w:rsidR="00352241">
        <w:rPr>
          <w:szCs w:val="28"/>
          <w:lang w:val="en-US"/>
        </w:rPr>
        <w:t>and twenty-</w:t>
      </w:r>
      <w:r w:rsidRPr="002F394F">
        <w:rPr>
          <w:szCs w:val="28"/>
          <w:lang w:val="en-US"/>
        </w:rPr>
        <w:t xml:space="preserve">five rating scales has been </w:t>
      </w:r>
      <w:r w:rsidR="00352241">
        <w:rPr>
          <w:szCs w:val="28"/>
          <w:lang w:val="en-US"/>
        </w:rPr>
        <w:t>presented</w:t>
      </w:r>
      <w:r w:rsidRPr="002F394F">
        <w:rPr>
          <w:szCs w:val="28"/>
          <w:lang w:val="en-US"/>
        </w:rPr>
        <w:t xml:space="preserve"> to </w:t>
      </w:r>
      <w:r w:rsidR="00352241">
        <w:rPr>
          <w:szCs w:val="28"/>
          <w:lang w:val="en-US"/>
        </w:rPr>
        <w:t xml:space="preserve">116 respondents. Factor analysis </w:t>
      </w:r>
      <w:r w:rsidRPr="002F394F">
        <w:rPr>
          <w:szCs w:val="28"/>
          <w:lang w:val="en-US"/>
        </w:rPr>
        <w:t xml:space="preserve">and interpretation of empirical research </w:t>
      </w:r>
      <w:r w:rsidR="00352241" w:rsidRPr="002F394F">
        <w:rPr>
          <w:szCs w:val="28"/>
          <w:lang w:val="en-US"/>
        </w:rPr>
        <w:t>data</w:t>
      </w:r>
      <w:r w:rsidR="00352241">
        <w:rPr>
          <w:szCs w:val="28"/>
          <w:lang w:val="en-US"/>
        </w:rPr>
        <w:t xml:space="preserve"> obtained in two samples</w:t>
      </w:r>
      <w:r w:rsidR="00352241" w:rsidRPr="002F394F">
        <w:rPr>
          <w:szCs w:val="28"/>
          <w:lang w:val="en-US"/>
        </w:rPr>
        <w:t xml:space="preserve"> </w:t>
      </w:r>
      <w:r w:rsidR="00352241">
        <w:rPr>
          <w:szCs w:val="28"/>
          <w:lang w:val="en-US"/>
        </w:rPr>
        <w:t xml:space="preserve">has allowed us to reveal both </w:t>
      </w:r>
      <w:r w:rsidR="00352241" w:rsidRPr="002F394F">
        <w:rPr>
          <w:szCs w:val="28"/>
          <w:lang w:val="en-US"/>
        </w:rPr>
        <w:t>similarities in perception of time</w:t>
      </w:r>
      <w:r w:rsidR="00352241">
        <w:rPr>
          <w:szCs w:val="28"/>
          <w:lang w:val="en-US"/>
        </w:rPr>
        <w:t xml:space="preserve"> and </w:t>
      </w:r>
      <w:r w:rsidRPr="002F394F">
        <w:rPr>
          <w:szCs w:val="28"/>
          <w:lang w:val="en-US"/>
        </w:rPr>
        <w:t xml:space="preserve">differences in consciousness constructs </w:t>
      </w:r>
      <w:r w:rsidR="00352241">
        <w:rPr>
          <w:szCs w:val="28"/>
          <w:lang w:val="en-US"/>
        </w:rPr>
        <w:t xml:space="preserve">that may contribute </w:t>
      </w:r>
      <w:r w:rsidRPr="002F394F">
        <w:rPr>
          <w:szCs w:val="28"/>
          <w:lang w:val="en-US"/>
        </w:rPr>
        <w:t xml:space="preserve">to the development of </w:t>
      </w:r>
      <w:r w:rsidR="00352241">
        <w:rPr>
          <w:szCs w:val="28"/>
          <w:lang w:val="en-US"/>
        </w:rPr>
        <w:t>the tendency to academic procrastination.</w:t>
      </w:r>
    </w:p>
    <w:p w:rsidR="002F394F" w:rsidRPr="002F394F" w:rsidRDefault="002F394F" w:rsidP="002F394F">
      <w:pPr>
        <w:ind w:firstLine="709"/>
        <w:contextualSpacing/>
        <w:jc w:val="both"/>
        <w:rPr>
          <w:szCs w:val="28"/>
          <w:lang w:val="en-US"/>
        </w:rPr>
      </w:pPr>
    </w:p>
    <w:p w:rsidR="0047578B" w:rsidRDefault="0047578B" w:rsidP="0047578B">
      <w:pPr>
        <w:ind w:firstLine="709"/>
        <w:contextualSpacing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Key words</w:t>
      </w:r>
    </w:p>
    <w:p w:rsidR="0047578B" w:rsidRPr="0047578B" w:rsidRDefault="0047578B" w:rsidP="0047578B">
      <w:pPr>
        <w:ind w:firstLine="709"/>
        <w:contextualSpacing/>
        <w:jc w:val="center"/>
        <w:rPr>
          <w:szCs w:val="28"/>
          <w:lang w:val="en-US"/>
        </w:rPr>
      </w:pPr>
      <w:proofErr w:type="spellStart"/>
      <w:r w:rsidRPr="0047578B">
        <w:rPr>
          <w:szCs w:val="28"/>
          <w:lang w:val="en-US"/>
        </w:rPr>
        <w:t>Psychosemantic</w:t>
      </w:r>
      <w:proofErr w:type="spellEnd"/>
      <w:r w:rsidRPr="0047578B">
        <w:rPr>
          <w:szCs w:val="28"/>
          <w:lang w:val="en-US"/>
        </w:rPr>
        <w:t xml:space="preserve">, </w:t>
      </w:r>
      <w:r w:rsidR="00066328">
        <w:rPr>
          <w:szCs w:val="28"/>
          <w:lang w:val="en-US"/>
        </w:rPr>
        <w:t xml:space="preserve">semantic differential, </w:t>
      </w:r>
      <w:r w:rsidRPr="0047578B">
        <w:rPr>
          <w:szCs w:val="28"/>
          <w:lang w:val="en-US"/>
        </w:rPr>
        <w:t xml:space="preserve">time perception, categories of </w:t>
      </w:r>
      <w:r w:rsidR="00066328">
        <w:rPr>
          <w:szCs w:val="28"/>
          <w:lang w:val="en-US"/>
        </w:rPr>
        <w:t xml:space="preserve">consciousness, </w:t>
      </w:r>
      <w:r w:rsidRPr="0047578B">
        <w:rPr>
          <w:szCs w:val="28"/>
          <w:lang w:val="en-US"/>
        </w:rPr>
        <w:t>academic procrastination</w:t>
      </w:r>
    </w:p>
    <w:p w:rsidR="00930A8B" w:rsidRPr="0047578B" w:rsidRDefault="00930A8B" w:rsidP="00186AD1">
      <w:pPr>
        <w:ind w:firstLine="709"/>
        <w:contextualSpacing/>
        <w:jc w:val="both"/>
        <w:rPr>
          <w:szCs w:val="28"/>
          <w:lang w:val="en-US"/>
        </w:rPr>
      </w:pPr>
    </w:p>
    <w:p w:rsidR="00D43EF5" w:rsidRPr="005B139D" w:rsidRDefault="00A63C39" w:rsidP="00186AD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последнее время </w:t>
      </w:r>
      <w:r w:rsidR="00673301">
        <w:rPr>
          <w:szCs w:val="28"/>
        </w:rPr>
        <w:t xml:space="preserve">в психологической науке и практике </w:t>
      </w:r>
      <w:r>
        <w:rPr>
          <w:szCs w:val="28"/>
        </w:rPr>
        <w:t>наблюдается неизменно возрастающий интерес</w:t>
      </w:r>
      <w:r w:rsidRPr="00A63C39">
        <w:rPr>
          <w:szCs w:val="28"/>
        </w:rPr>
        <w:t xml:space="preserve"> к вопросам оптимального использования времени, ассоциируемым</w:t>
      </w:r>
      <w:r w:rsidR="00673301">
        <w:rPr>
          <w:szCs w:val="28"/>
        </w:rPr>
        <w:t>, прежде всего,</w:t>
      </w:r>
      <w:r w:rsidRPr="00A63C39">
        <w:rPr>
          <w:szCs w:val="28"/>
        </w:rPr>
        <w:t xml:space="preserve"> с проблемами временной компетентности </w:t>
      </w:r>
      <w:r w:rsidR="00BB2960">
        <w:rPr>
          <w:szCs w:val="28"/>
        </w:rPr>
        <w:t>и</w:t>
      </w:r>
      <w:r w:rsidRPr="00A63C39">
        <w:rPr>
          <w:szCs w:val="28"/>
        </w:rPr>
        <w:t xml:space="preserve"> прокрастинации. По последним данным прокрастинации подвержено более 20% населения, при этом число </w:t>
      </w:r>
      <w:proofErr w:type="spellStart"/>
      <w:r w:rsidRPr="00A63C39">
        <w:rPr>
          <w:szCs w:val="28"/>
        </w:rPr>
        <w:t>прокрастинаторов</w:t>
      </w:r>
      <w:proofErr w:type="spellEnd"/>
      <w:r w:rsidRPr="00A63C39">
        <w:rPr>
          <w:szCs w:val="28"/>
        </w:rPr>
        <w:t xml:space="preserve"> с каждым годом увеличивается, а лидерами по степени выраженности и частоте встречаемости данной характеристики являются студ</w:t>
      </w:r>
      <w:r w:rsidR="00104F0A">
        <w:rPr>
          <w:szCs w:val="28"/>
        </w:rPr>
        <w:t>енты высших учебных заведений [1</w:t>
      </w:r>
      <w:r w:rsidRPr="00A63C39">
        <w:rPr>
          <w:szCs w:val="28"/>
        </w:rPr>
        <w:t>, с. 45]. Закономерно, что в сложившейся ситуации объектом научного исследования все чаще становится академическая прокрастинация и связан</w:t>
      </w:r>
      <w:r w:rsidR="00BB2960">
        <w:rPr>
          <w:szCs w:val="28"/>
        </w:rPr>
        <w:t>ные с нею феномены: изучаются ме</w:t>
      </w:r>
      <w:r w:rsidRPr="00A63C39">
        <w:rPr>
          <w:szCs w:val="28"/>
        </w:rPr>
        <w:t xml:space="preserve">ханизмы и условия </w:t>
      </w:r>
      <w:r w:rsidR="00673301">
        <w:rPr>
          <w:szCs w:val="28"/>
        </w:rPr>
        <w:t xml:space="preserve">ее возникновения, </w:t>
      </w:r>
      <w:r w:rsidR="00BB2960" w:rsidRPr="00BB2960">
        <w:rPr>
          <w:szCs w:val="28"/>
        </w:rPr>
        <w:t>способы саморегуляции с целью снижения негативного воздействия прокрас</w:t>
      </w:r>
      <w:r w:rsidR="00BB2960">
        <w:rPr>
          <w:szCs w:val="28"/>
        </w:rPr>
        <w:t>тинации на эффективность</w:t>
      </w:r>
      <w:r w:rsidR="00BB2960" w:rsidRPr="00BB2960">
        <w:rPr>
          <w:szCs w:val="28"/>
        </w:rPr>
        <w:t xml:space="preserve"> </w:t>
      </w:r>
      <w:r w:rsidR="00BB2960">
        <w:rPr>
          <w:szCs w:val="28"/>
        </w:rPr>
        <w:t>учебной деятельности, а также особенности восприятия времени</w:t>
      </w:r>
      <w:r w:rsidR="00F16631">
        <w:rPr>
          <w:szCs w:val="28"/>
        </w:rPr>
        <w:t xml:space="preserve"> студентами</w:t>
      </w:r>
      <w:r w:rsidR="00673301">
        <w:rPr>
          <w:szCs w:val="28"/>
        </w:rPr>
        <w:t xml:space="preserve">, </w:t>
      </w:r>
      <w:r w:rsidR="009906FB">
        <w:rPr>
          <w:szCs w:val="28"/>
        </w:rPr>
        <w:t xml:space="preserve">предположительно </w:t>
      </w:r>
      <w:r w:rsidR="00FA03B8">
        <w:rPr>
          <w:szCs w:val="28"/>
        </w:rPr>
        <w:t>способствующие развитию</w:t>
      </w:r>
      <w:r w:rsidR="00673301">
        <w:rPr>
          <w:szCs w:val="28"/>
        </w:rPr>
        <w:t xml:space="preserve"> данного </w:t>
      </w:r>
      <w:r w:rsidR="009906FB">
        <w:rPr>
          <w:szCs w:val="28"/>
        </w:rPr>
        <w:t xml:space="preserve">негативного </w:t>
      </w:r>
      <w:r w:rsidR="00673301">
        <w:rPr>
          <w:szCs w:val="28"/>
        </w:rPr>
        <w:t>явления</w:t>
      </w:r>
      <w:r w:rsidR="00BB2960">
        <w:rPr>
          <w:szCs w:val="28"/>
        </w:rPr>
        <w:t>. Время относится к числу универсальных, базисных категорий</w:t>
      </w:r>
      <w:r w:rsidR="00673301">
        <w:rPr>
          <w:szCs w:val="28"/>
        </w:rPr>
        <w:t>,</w:t>
      </w:r>
      <w:r w:rsidR="00BB2960">
        <w:rPr>
          <w:szCs w:val="28"/>
        </w:rPr>
        <w:t xml:space="preserve"> </w:t>
      </w:r>
      <w:r w:rsidR="00673301">
        <w:rPr>
          <w:szCs w:val="28"/>
        </w:rPr>
        <w:t>задающих</w:t>
      </w:r>
      <w:r w:rsidR="00BB2960">
        <w:rPr>
          <w:szCs w:val="28"/>
        </w:rPr>
        <w:t xml:space="preserve"> «концептуальную рамку» восприятия мира </w:t>
      </w:r>
      <w:r w:rsidR="00673301">
        <w:rPr>
          <w:szCs w:val="28"/>
        </w:rPr>
        <w:t xml:space="preserve">субъектом </w:t>
      </w:r>
      <w:r w:rsidR="00BB2960" w:rsidRPr="00673301">
        <w:rPr>
          <w:szCs w:val="28"/>
        </w:rPr>
        <w:t>[</w:t>
      </w:r>
      <w:r w:rsidR="00104F0A">
        <w:rPr>
          <w:szCs w:val="28"/>
        </w:rPr>
        <w:t xml:space="preserve">5, с. </w:t>
      </w:r>
      <w:r w:rsidR="00BB2960">
        <w:rPr>
          <w:szCs w:val="28"/>
        </w:rPr>
        <w:t>79</w:t>
      </w:r>
      <w:r w:rsidR="00BB2960" w:rsidRPr="00673301">
        <w:rPr>
          <w:szCs w:val="28"/>
        </w:rPr>
        <w:t>]</w:t>
      </w:r>
      <w:r w:rsidR="00D43EF5">
        <w:rPr>
          <w:szCs w:val="28"/>
        </w:rPr>
        <w:t>. Категория – это «свернутая в одно понятие целостная система представлений, выработанных человечеством, о некоторой содержательной области»</w:t>
      </w:r>
      <w:r w:rsidR="00104F0A">
        <w:rPr>
          <w:szCs w:val="28"/>
        </w:rPr>
        <w:t xml:space="preserve"> </w:t>
      </w:r>
      <w:r w:rsidR="00D43EF5" w:rsidRPr="00D43EF5">
        <w:rPr>
          <w:szCs w:val="28"/>
        </w:rPr>
        <w:t>[</w:t>
      </w:r>
      <w:r w:rsidR="00104F0A">
        <w:rPr>
          <w:szCs w:val="28"/>
        </w:rPr>
        <w:t xml:space="preserve">5, с. </w:t>
      </w:r>
      <w:r w:rsidR="00D43EF5">
        <w:rPr>
          <w:szCs w:val="28"/>
        </w:rPr>
        <w:t>80</w:t>
      </w:r>
      <w:r w:rsidR="00D43EF5" w:rsidRPr="00D43EF5">
        <w:rPr>
          <w:szCs w:val="28"/>
        </w:rPr>
        <w:t>]</w:t>
      </w:r>
      <w:r w:rsidR="00D43EF5">
        <w:rPr>
          <w:szCs w:val="28"/>
        </w:rPr>
        <w:t xml:space="preserve">. Как отмечает В.Ф. Петренко, </w:t>
      </w:r>
      <w:r w:rsidR="007A3268">
        <w:rPr>
          <w:szCs w:val="28"/>
        </w:rPr>
        <w:t>категория времен «</w:t>
      </w:r>
      <w:r w:rsidR="00D43EF5">
        <w:rPr>
          <w:szCs w:val="28"/>
        </w:rPr>
        <w:t>вбирает в себя представления теории относительности о взаимоотношениях пространства и времени, космологические представления об эволюции материи, биологические сведения о времени жизни организма, представления о психологическом времени личности, об историческом времени и т.п.»</w:t>
      </w:r>
      <w:r w:rsidR="005B139D">
        <w:rPr>
          <w:szCs w:val="28"/>
        </w:rPr>
        <w:t xml:space="preserve"> </w:t>
      </w:r>
      <w:r w:rsidR="005B139D" w:rsidRPr="005B139D">
        <w:rPr>
          <w:szCs w:val="28"/>
        </w:rPr>
        <w:t>[</w:t>
      </w:r>
      <w:r w:rsidR="00104F0A">
        <w:rPr>
          <w:szCs w:val="28"/>
        </w:rPr>
        <w:t xml:space="preserve">5, с. </w:t>
      </w:r>
      <w:r w:rsidR="005B139D" w:rsidRPr="005B139D">
        <w:rPr>
          <w:szCs w:val="28"/>
        </w:rPr>
        <w:t>81]</w:t>
      </w:r>
      <w:r w:rsidR="00D43EF5">
        <w:rPr>
          <w:szCs w:val="28"/>
        </w:rPr>
        <w:t xml:space="preserve"> и имплицитно присутствует в качестве </w:t>
      </w:r>
      <w:proofErr w:type="spellStart"/>
      <w:r w:rsidR="00D43EF5">
        <w:rPr>
          <w:szCs w:val="28"/>
        </w:rPr>
        <w:t>архисемы</w:t>
      </w:r>
      <w:proofErr w:type="spellEnd"/>
      <w:r w:rsidR="00D43EF5">
        <w:rPr>
          <w:szCs w:val="28"/>
        </w:rPr>
        <w:t xml:space="preserve"> в более частных понятиях (например, «вчера», «сегодня», «быстро», «медленно» и т.п.)</w:t>
      </w:r>
      <w:r w:rsidR="005B139D" w:rsidRPr="005B139D">
        <w:rPr>
          <w:szCs w:val="28"/>
        </w:rPr>
        <w:t>.</w:t>
      </w:r>
    </w:p>
    <w:p w:rsidR="000378E7" w:rsidRDefault="00BB2960" w:rsidP="00EC6627">
      <w:pPr>
        <w:ind w:firstLine="709"/>
        <w:contextualSpacing/>
        <w:jc w:val="both"/>
        <w:rPr>
          <w:bCs/>
          <w:iCs/>
          <w:color w:val="000000"/>
          <w:szCs w:val="28"/>
        </w:rPr>
      </w:pPr>
      <w:r w:rsidRPr="00BB2960">
        <w:rPr>
          <w:szCs w:val="28"/>
        </w:rPr>
        <w:t>В осуществленном нами эмпирическом исследовании приняли участие 116 студентов второго года обучения одного из гуманитарных направлений подготовки (Институт языка и литературы ФГБОУ ВО «Удмуртский государственный университет»). Выбор в качестве испытуемых именно второкурсников был неслучаен: к началу второго года обучения обычно завершается процесс первичной адаптации к условиям университета, нивелируется эффект новизны, и у студентов складывается общий режим дня, включающий учебную деятельность в первой половине и свободное время на самоподготовку, досуг и альтернативные</w:t>
      </w:r>
      <w:r w:rsidR="00104F0A">
        <w:rPr>
          <w:szCs w:val="28"/>
        </w:rPr>
        <w:t xml:space="preserve"> виды деятельности во второй [3</w:t>
      </w:r>
      <w:r w:rsidRPr="00BB2960">
        <w:rPr>
          <w:szCs w:val="28"/>
        </w:rPr>
        <w:t xml:space="preserve">, с. 240]. На третьем курсе происходит </w:t>
      </w:r>
      <w:r w:rsidRPr="00BB2960">
        <w:rPr>
          <w:szCs w:val="28"/>
        </w:rPr>
        <w:lastRenderedPageBreak/>
        <w:t>смена расписания: учебные занятия проводятся во второй половине рабочего дня, что обусловлено ограниченностью аудиторного фонда и необходимостью регулировать его наполняемость, а на четвертом курсе многие студенты начинают совмещать учебу с работой, что в очередной раз приводит к изменению модели временных затрат в течение суток.</w:t>
      </w:r>
      <w:r w:rsidR="00EC6627">
        <w:rPr>
          <w:szCs w:val="28"/>
        </w:rPr>
        <w:t xml:space="preserve"> </w:t>
      </w:r>
      <w:r w:rsidR="00186AD1">
        <w:rPr>
          <w:bCs/>
          <w:iCs/>
          <w:color w:val="000000"/>
          <w:szCs w:val="28"/>
        </w:rPr>
        <w:t>На первом этапе нашего исследования</w:t>
      </w:r>
      <w:r w:rsidR="00450F4E" w:rsidRPr="00186AD1">
        <w:rPr>
          <w:bCs/>
          <w:iCs/>
          <w:color w:val="000000"/>
          <w:szCs w:val="28"/>
        </w:rPr>
        <w:t xml:space="preserve"> на основании данных психодиагностических методик (шкала академической прокрастинации К. </w:t>
      </w:r>
      <w:proofErr w:type="spellStart"/>
      <w:r w:rsidR="00450F4E" w:rsidRPr="00186AD1">
        <w:rPr>
          <w:bCs/>
          <w:iCs/>
          <w:color w:val="000000"/>
          <w:szCs w:val="28"/>
        </w:rPr>
        <w:t>Лэя</w:t>
      </w:r>
      <w:proofErr w:type="spellEnd"/>
      <w:r w:rsidR="00450F4E" w:rsidRPr="00186AD1">
        <w:rPr>
          <w:bCs/>
          <w:iCs/>
          <w:color w:val="000000"/>
          <w:szCs w:val="28"/>
        </w:rPr>
        <w:t xml:space="preserve"> и шкала частоты прокрастинации М.Ю. Зверевой), проанализированных с помощью процедур кластеризации, в изучаемой выбо</w:t>
      </w:r>
      <w:r w:rsidR="00186AD1">
        <w:rPr>
          <w:bCs/>
          <w:iCs/>
          <w:color w:val="000000"/>
          <w:szCs w:val="28"/>
        </w:rPr>
        <w:t>рке было выделено две подгруппы: п</w:t>
      </w:r>
      <w:r w:rsidR="00450F4E" w:rsidRPr="00186AD1">
        <w:rPr>
          <w:bCs/>
          <w:iCs/>
          <w:color w:val="000000"/>
          <w:szCs w:val="28"/>
        </w:rPr>
        <w:t>ервая подгруппа (45 человек) была обозначена как «студенты, несклонные к академической прокрастинации», а вторая (71 человек) – «студенты, склонные к академической прокрастинации».</w:t>
      </w:r>
      <w:r w:rsidR="00D46913">
        <w:rPr>
          <w:bCs/>
          <w:iCs/>
          <w:color w:val="000000"/>
          <w:szCs w:val="28"/>
        </w:rPr>
        <w:t xml:space="preserve"> </w:t>
      </w:r>
      <w:r w:rsidR="000378E7">
        <w:rPr>
          <w:bCs/>
          <w:iCs/>
          <w:color w:val="000000"/>
          <w:szCs w:val="28"/>
        </w:rPr>
        <w:t>Таким образом,</w:t>
      </w:r>
      <w:r w:rsidR="000378E7" w:rsidRPr="000378E7">
        <w:rPr>
          <w:bCs/>
          <w:iCs/>
          <w:color w:val="000000"/>
          <w:szCs w:val="28"/>
        </w:rPr>
        <w:t xml:space="preserve"> число второкурсников-</w:t>
      </w:r>
      <w:proofErr w:type="spellStart"/>
      <w:r w:rsidR="000378E7" w:rsidRPr="000378E7">
        <w:rPr>
          <w:bCs/>
          <w:iCs/>
          <w:color w:val="000000"/>
          <w:szCs w:val="28"/>
        </w:rPr>
        <w:t>прокрастинаторов</w:t>
      </w:r>
      <w:proofErr w:type="spellEnd"/>
      <w:r w:rsidR="000378E7" w:rsidRPr="000378E7">
        <w:rPr>
          <w:bCs/>
          <w:iCs/>
          <w:color w:val="000000"/>
          <w:szCs w:val="28"/>
        </w:rPr>
        <w:t xml:space="preserve"> в полтора раза превышает количество студентов, не откладывающих решение академических задач на более поздние сроки. Второкурсники с невыраженной склонностью к академической прокрастинации способны продуктивно организовать свою учебную деятельность: они своевременно выполняют промежуточные и итоговые задачи, не испытывая при этом чрезмерного беспокойства, в большей степени планомерны и настойчивы, умеют организовывать и структурировать свою деятельность, способны к самоконтролю</w:t>
      </w:r>
      <w:r w:rsidR="000378E7">
        <w:rPr>
          <w:bCs/>
          <w:iCs/>
          <w:color w:val="000000"/>
          <w:szCs w:val="28"/>
        </w:rPr>
        <w:t xml:space="preserve">. </w:t>
      </w:r>
      <w:r w:rsidR="000378E7" w:rsidRPr="000378E7">
        <w:rPr>
          <w:bCs/>
          <w:iCs/>
          <w:color w:val="000000"/>
          <w:szCs w:val="28"/>
        </w:rPr>
        <w:t>Студентов-</w:t>
      </w:r>
      <w:proofErr w:type="spellStart"/>
      <w:r w:rsidR="000378E7" w:rsidRPr="000378E7">
        <w:rPr>
          <w:bCs/>
          <w:iCs/>
          <w:color w:val="000000"/>
          <w:szCs w:val="28"/>
        </w:rPr>
        <w:t>прокрастинаторов</w:t>
      </w:r>
      <w:proofErr w:type="spellEnd"/>
      <w:r w:rsidR="000378E7" w:rsidRPr="000378E7">
        <w:rPr>
          <w:bCs/>
          <w:iCs/>
          <w:color w:val="000000"/>
          <w:szCs w:val="28"/>
        </w:rPr>
        <w:t xml:space="preserve"> отличают неорганизованность, забывчивость, леность</w:t>
      </w:r>
      <w:r w:rsidR="000378E7">
        <w:rPr>
          <w:bCs/>
          <w:iCs/>
          <w:color w:val="000000"/>
          <w:szCs w:val="28"/>
        </w:rPr>
        <w:t>.</w:t>
      </w:r>
    </w:p>
    <w:p w:rsidR="00450F4E" w:rsidRPr="00186AD1" w:rsidRDefault="00EC6627" w:rsidP="00D46913">
      <w:pPr>
        <w:pStyle w:val="a3"/>
        <w:ind w:firstLine="709"/>
        <w:jc w:val="both"/>
      </w:pPr>
      <w:r>
        <w:rPr>
          <w:bCs/>
          <w:iCs/>
          <w:color w:val="000000"/>
          <w:szCs w:val="28"/>
        </w:rPr>
        <w:t>Далее</w:t>
      </w:r>
      <w:r w:rsidR="00D46913">
        <w:rPr>
          <w:bCs/>
          <w:iCs/>
          <w:color w:val="000000"/>
          <w:szCs w:val="28"/>
        </w:rPr>
        <w:t xml:space="preserve"> были проанализированы данные, полученные с помощью специализированного</w:t>
      </w:r>
      <w:r w:rsidR="00450F4E" w:rsidRPr="00186AD1">
        <w:t xml:space="preserve"> семантическ</w:t>
      </w:r>
      <w:r w:rsidR="00D46913">
        <w:t xml:space="preserve">ого </w:t>
      </w:r>
      <w:r w:rsidR="00450F4E" w:rsidRPr="00186AD1">
        <w:t>дифференциал</w:t>
      </w:r>
      <w:r w:rsidR="00D46913">
        <w:t xml:space="preserve">а, </w:t>
      </w:r>
      <w:r>
        <w:t>сконструированного</w:t>
      </w:r>
      <w:r w:rsidR="00450F4E" w:rsidRPr="00186AD1">
        <w:t xml:space="preserve"> в рамках осуществляемого исследования: </w:t>
      </w:r>
      <w:proofErr w:type="gramStart"/>
      <w:r w:rsidR="00F16631">
        <w:t>объекты оценивания</w:t>
      </w:r>
      <w:proofErr w:type="gramEnd"/>
      <w:r w:rsidR="00F16631">
        <w:t xml:space="preserve"> выделялись</w:t>
      </w:r>
      <w:r>
        <w:t xml:space="preserve"> на основании</w:t>
      </w:r>
      <w:r w:rsidR="00450F4E" w:rsidRPr="00186AD1">
        <w:t xml:space="preserve"> анализа феномена времени, его структуры, свойств,</w:t>
      </w:r>
      <w:r w:rsidR="00F16631">
        <w:t xml:space="preserve"> типов; оценочные шкалы отбирались</w:t>
      </w:r>
      <w:r w:rsidR="00450F4E" w:rsidRPr="00186AD1">
        <w:t xml:space="preserve"> из чи</w:t>
      </w:r>
      <w:r w:rsidR="00D43EF5">
        <w:t>сла использованных в</w:t>
      </w:r>
      <w:r w:rsidR="00450F4E" w:rsidRPr="00186AD1">
        <w:t xml:space="preserve"> исследовании</w:t>
      </w:r>
      <w:r w:rsidR="00104F0A">
        <w:t xml:space="preserve"> Л.И. </w:t>
      </w:r>
      <w:proofErr w:type="spellStart"/>
      <w:r w:rsidR="00104F0A">
        <w:t>Вассермана</w:t>
      </w:r>
      <w:proofErr w:type="spellEnd"/>
      <w:r w:rsidR="00104F0A">
        <w:t xml:space="preserve"> с коллегами [2</w:t>
      </w:r>
      <w:r w:rsidR="00450F4E" w:rsidRPr="00186AD1">
        <w:t>, с. 36]. В итоге была построена матрица оценивания, включающая 20 объектов</w:t>
      </w:r>
      <w:r w:rsidR="00186AD1">
        <w:t xml:space="preserve"> (</w:t>
      </w:r>
      <w:r w:rsidR="00D46913">
        <w:t>см. Рисунки 1-4</w:t>
      </w:r>
      <w:r w:rsidR="00186AD1">
        <w:t>)</w:t>
      </w:r>
      <w:r w:rsidR="00450F4E" w:rsidRPr="00186AD1">
        <w:t xml:space="preserve"> и 25 оценочных шкал</w:t>
      </w:r>
      <w:r w:rsidR="00186AD1">
        <w:t xml:space="preserve"> (см. Таблицы 1-2)</w:t>
      </w:r>
      <w:r w:rsidR="00450F4E" w:rsidRPr="00186AD1">
        <w:t xml:space="preserve">. Испытуемому предлагалось оценить каждый стимул (объект) с помощью предложенного набора шкал-антонимов по шкале от -3 до +3 баллов. Систематизированные данные обрабатывались в соответствии с алгоритмами, предложенными В.Ф. Петренко совместно с сотрудниками лаборатории психологии общения и </w:t>
      </w:r>
      <w:proofErr w:type="spellStart"/>
      <w:r w:rsidR="00450F4E" w:rsidRPr="00186AD1">
        <w:t>психосемантики</w:t>
      </w:r>
      <w:proofErr w:type="spellEnd"/>
      <w:r w:rsidR="00450F4E" w:rsidRPr="00186AD1">
        <w:t xml:space="preserve"> МГУ им. М.В. Ломоносова [</w:t>
      </w:r>
      <w:r w:rsidR="00104F0A">
        <w:t>4; 6</w:t>
      </w:r>
      <w:r w:rsidR="00450F4E" w:rsidRPr="00186AD1">
        <w:t xml:space="preserve">]. </w:t>
      </w:r>
    </w:p>
    <w:p w:rsidR="00450F4E" w:rsidRDefault="00450F4E" w:rsidP="00186AD1">
      <w:pPr>
        <w:ind w:firstLine="709"/>
        <w:jc w:val="both"/>
        <w:rPr>
          <w:color w:val="000000"/>
          <w:szCs w:val="28"/>
        </w:rPr>
      </w:pPr>
      <w:r w:rsidRPr="00186AD1">
        <w:rPr>
          <w:color w:val="000000"/>
          <w:szCs w:val="28"/>
        </w:rPr>
        <w:t xml:space="preserve">В результате </w:t>
      </w:r>
      <w:proofErr w:type="spellStart"/>
      <w:r w:rsidRPr="00186AD1">
        <w:rPr>
          <w:color w:val="000000"/>
          <w:szCs w:val="28"/>
        </w:rPr>
        <w:t>факторно</w:t>
      </w:r>
      <w:proofErr w:type="spellEnd"/>
      <w:r w:rsidR="00D46913">
        <w:rPr>
          <w:color w:val="000000"/>
          <w:szCs w:val="28"/>
        </w:rPr>
        <w:t xml:space="preserve">-аналитической обработки данных в обеих анализируемых подгруппах </w:t>
      </w:r>
      <w:r w:rsidRPr="00186AD1">
        <w:rPr>
          <w:color w:val="000000"/>
          <w:szCs w:val="28"/>
        </w:rPr>
        <w:t>были выделены четыре значимых фактора «Эмоциональная окрашенность», «Длительность», «Насыщенность», «Стабильность»</w:t>
      </w:r>
      <w:r w:rsidR="00D46913">
        <w:rPr>
          <w:color w:val="000000"/>
          <w:szCs w:val="28"/>
        </w:rPr>
        <w:t>.</w:t>
      </w:r>
    </w:p>
    <w:p w:rsidR="00D46913" w:rsidRPr="00186AD1" w:rsidRDefault="00D46913" w:rsidP="00186AD1">
      <w:pPr>
        <w:ind w:firstLine="709"/>
        <w:jc w:val="both"/>
        <w:rPr>
          <w:color w:val="000000"/>
          <w:szCs w:val="28"/>
        </w:rPr>
      </w:pPr>
    </w:p>
    <w:p w:rsidR="00450F4E" w:rsidRDefault="00450F4E" w:rsidP="00186AD1">
      <w:pPr>
        <w:ind w:firstLine="709"/>
        <w:jc w:val="center"/>
        <w:rPr>
          <w:color w:val="000000"/>
          <w:szCs w:val="28"/>
        </w:rPr>
      </w:pPr>
      <w:r w:rsidRPr="00186AD1">
        <w:rPr>
          <w:color w:val="000000"/>
          <w:szCs w:val="28"/>
        </w:rPr>
        <w:t xml:space="preserve">Таблица </w:t>
      </w:r>
      <w:r w:rsidR="00D46913">
        <w:rPr>
          <w:color w:val="000000"/>
          <w:szCs w:val="28"/>
        </w:rPr>
        <w:t>1</w:t>
      </w:r>
      <w:r w:rsidRPr="00186AD1">
        <w:rPr>
          <w:color w:val="000000"/>
          <w:szCs w:val="28"/>
        </w:rPr>
        <w:t>. Результаты факторного анализа в выборке второкурсников, несклонных к академической прокрастинации</w:t>
      </w:r>
    </w:p>
    <w:p w:rsidR="00D46913" w:rsidRPr="00186AD1" w:rsidRDefault="00D46913" w:rsidP="00186AD1">
      <w:pPr>
        <w:ind w:firstLine="709"/>
        <w:jc w:val="center"/>
        <w:rPr>
          <w:color w:val="000000"/>
          <w:szCs w:val="28"/>
        </w:rPr>
      </w:pPr>
    </w:p>
    <w:tbl>
      <w:tblPr>
        <w:tblW w:w="9355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544"/>
        <w:gridCol w:w="1452"/>
        <w:gridCol w:w="1453"/>
        <w:gridCol w:w="1453"/>
        <w:gridCol w:w="1453"/>
      </w:tblGrid>
      <w:tr w:rsidR="00450F4E" w:rsidRPr="00186AD1" w:rsidTr="00186AD1">
        <w:trPr>
          <w:cantSplit/>
        </w:trPr>
        <w:tc>
          <w:tcPr>
            <w:tcW w:w="35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  <w:rPr>
                <w:b/>
              </w:rPr>
            </w:pPr>
            <w:r w:rsidRPr="00186AD1">
              <w:rPr>
                <w:b/>
                <w:bCs/>
              </w:rPr>
              <w:t>Доля объяснимой дисперсии:</w:t>
            </w:r>
          </w:p>
          <w:p w:rsidR="00450F4E" w:rsidRPr="00186AD1" w:rsidRDefault="00450F4E" w:rsidP="00186AD1">
            <w:pPr>
              <w:jc w:val="center"/>
            </w:pPr>
            <w:r w:rsidRPr="00186AD1">
              <w:rPr>
                <w:b/>
              </w:rPr>
              <w:t>88,</w:t>
            </w:r>
            <w:r w:rsidRPr="00186AD1">
              <w:rPr>
                <w:b/>
                <w:i/>
              </w:rPr>
              <w:t>94</w:t>
            </w:r>
            <w:r w:rsidRPr="00186AD1">
              <w:rPr>
                <w:b/>
              </w:rPr>
              <w:t>%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proofErr w:type="spellStart"/>
            <w:proofErr w:type="gramStart"/>
            <w:r w:rsidRPr="00186AD1">
              <w:rPr>
                <w:color w:val="000000"/>
              </w:rPr>
              <w:t>Эмоцио</w:t>
            </w:r>
            <w:r w:rsidR="00186AD1">
              <w:rPr>
                <w:color w:val="000000"/>
              </w:rPr>
              <w:t>-</w:t>
            </w:r>
            <w:r w:rsidRPr="00186AD1">
              <w:rPr>
                <w:color w:val="000000"/>
              </w:rPr>
              <w:t>нальная</w:t>
            </w:r>
            <w:proofErr w:type="spellEnd"/>
            <w:proofErr w:type="gramEnd"/>
            <w:r w:rsidRPr="00186AD1">
              <w:rPr>
                <w:color w:val="000000"/>
              </w:rPr>
              <w:t xml:space="preserve"> окрашен</w:t>
            </w:r>
            <w:r w:rsidR="00186AD1">
              <w:rPr>
                <w:color w:val="000000"/>
              </w:rPr>
              <w:t>-</w:t>
            </w:r>
            <w:proofErr w:type="spellStart"/>
            <w:r w:rsidRPr="00186AD1">
              <w:rPr>
                <w:color w:val="000000"/>
              </w:rPr>
              <w:t>ность</w:t>
            </w:r>
            <w:proofErr w:type="spellEnd"/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proofErr w:type="spellStart"/>
            <w:proofErr w:type="gramStart"/>
            <w:r w:rsidRPr="00186AD1">
              <w:t>Длитель</w:t>
            </w:r>
            <w:r w:rsidR="00186AD1">
              <w:t>-</w:t>
            </w:r>
            <w:r w:rsidRPr="00186AD1">
              <w:t>ность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proofErr w:type="gramStart"/>
            <w:r w:rsidRPr="00186AD1">
              <w:t>Насыщен</w:t>
            </w:r>
            <w:r w:rsidR="00186AD1">
              <w:t>-</w:t>
            </w:r>
            <w:proofErr w:type="spellStart"/>
            <w:r w:rsidRPr="00186AD1">
              <w:t>ность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0F4E" w:rsidRPr="00186AD1" w:rsidRDefault="00186AD1" w:rsidP="00186AD1">
            <w:pPr>
              <w:jc w:val="center"/>
            </w:pPr>
            <w:proofErr w:type="gramStart"/>
            <w:r>
              <w:t>Стабиль-</w:t>
            </w:r>
            <w:proofErr w:type="spellStart"/>
            <w:r w:rsidR="00450F4E" w:rsidRPr="00186AD1">
              <w:t>ность</w:t>
            </w:r>
            <w:proofErr w:type="spellEnd"/>
            <w:proofErr w:type="gramEnd"/>
          </w:p>
        </w:tc>
      </w:tr>
      <w:tr w:rsidR="00450F4E" w:rsidRPr="00186AD1" w:rsidTr="00186AD1">
        <w:trPr>
          <w:cantSplit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rPr>
                <w:i/>
              </w:rPr>
              <w:t>27,69%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rPr>
                <w:i/>
              </w:rPr>
              <w:t>20,91%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rPr>
                <w:i/>
              </w:rPr>
              <w:t>16,39%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rPr>
                <w:i/>
              </w:rPr>
              <w:t>12,61%</w:t>
            </w: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1. тревожное – спокойное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-0,954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2. радостное – печальное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0,940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3. светлое – темное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0,939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 xml:space="preserve">4. напряженное – расслабленное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-0,894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5. цветное – серое</w:t>
            </w:r>
            <w:r w:rsidRPr="00186AD1">
              <w:rPr>
                <w:rFonts w:eastAsia="Times New Roman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0,848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6. яркое – тусклое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0,774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0,568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 xml:space="preserve">7. замкнутое – открытое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-0,714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0,552</w:t>
            </w: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8. большое – маленькое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0,904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 xml:space="preserve">9. длительное – мгновенное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0,844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 xml:space="preserve">10. широкое – узкое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0,834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 xml:space="preserve">11. непрерывное – прерывное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0,788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lastRenderedPageBreak/>
              <w:t xml:space="preserve">12. частное – общее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-0,762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13. глубокое – мелкое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0,722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0,534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 xml:space="preserve">14. стремительное – застывшее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-0,656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 xml:space="preserve">15. понятное – непонятное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-0,572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 xml:space="preserve">16. плотное – пустое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0,874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 xml:space="preserve">17. активное – пассивное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0,771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18. ритмичное – неритмичное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0,737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 xml:space="preserve">19. объемное – плоское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0,697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20. обратимое – необратимое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-0,932</w:t>
            </w: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21. постоянное – изменчивое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0,916</w:t>
            </w: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22. неделимое – делимое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0,542</w:t>
            </w: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23. реальное – кажущееся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>24. далекое – близкое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  <w:tr w:rsidR="00450F4E" w:rsidRPr="00186AD1" w:rsidTr="00186AD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r w:rsidRPr="00186AD1">
              <w:t xml:space="preserve">25. ощущаемое – неощущаемое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jc w:val="center"/>
            </w:pPr>
            <w:r w:rsidRPr="00186AD1">
              <w:t>-0,508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186AD1">
            <w:pPr>
              <w:snapToGrid w:val="0"/>
              <w:jc w:val="center"/>
            </w:pPr>
          </w:p>
        </w:tc>
      </w:tr>
    </w:tbl>
    <w:p w:rsidR="00D46913" w:rsidRDefault="00D46913" w:rsidP="00186AD1">
      <w:pPr>
        <w:ind w:firstLine="709"/>
        <w:jc w:val="center"/>
        <w:rPr>
          <w:color w:val="000000"/>
          <w:szCs w:val="28"/>
        </w:rPr>
      </w:pPr>
    </w:p>
    <w:p w:rsidR="00450F4E" w:rsidRDefault="00450F4E" w:rsidP="00186AD1">
      <w:pPr>
        <w:ind w:firstLine="709"/>
        <w:jc w:val="center"/>
        <w:rPr>
          <w:color w:val="000000"/>
          <w:szCs w:val="28"/>
        </w:rPr>
      </w:pPr>
      <w:r w:rsidRPr="00186AD1">
        <w:rPr>
          <w:color w:val="000000"/>
          <w:szCs w:val="28"/>
        </w:rPr>
        <w:t xml:space="preserve">Таблица </w:t>
      </w:r>
      <w:r w:rsidR="00D46913">
        <w:rPr>
          <w:color w:val="000000"/>
          <w:szCs w:val="28"/>
        </w:rPr>
        <w:t>2</w:t>
      </w:r>
      <w:r w:rsidRPr="00186AD1">
        <w:rPr>
          <w:color w:val="000000"/>
          <w:szCs w:val="28"/>
        </w:rPr>
        <w:t>. Результаты факторного анализа в выборке второкурсников, склонных к академической прокрастинации</w:t>
      </w:r>
    </w:p>
    <w:p w:rsidR="00D46913" w:rsidRPr="00186AD1" w:rsidRDefault="00D46913" w:rsidP="00186AD1">
      <w:pPr>
        <w:ind w:firstLine="709"/>
        <w:jc w:val="center"/>
        <w:rPr>
          <w:color w:val="000000"/>
          <w:szCs w:val="28"/>
        </w:rPr>
      </w:pPr>
    </w:p>
    <w:tbl>
      <w:tblPr>
        <w:tblW w:w="9355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544"/>
        <w:gridCol w:w="1452"/>
        <w:gridCol w:w="1453"/>
        <w:gridCol w:w="1453"/>
        <w:gridCol w:w="1453"/>
      </w:tblGrid>
      <w:tr w:rsidR="00450F4E" w:rsidRPr="00186AD1" w:rsidTr="00D46913">
        <w:trPr>
          <w:cantSplit/>
          <w:trHeight w:val="414"/>
        </w:trPr>
        <w:tc>
          <w:tcPr>
            <w:tcW w:w="35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  <w:rPr>
                <w:b/>
                <w:i/>
              </w:rPr>
            </w:pPr>
            <w:r w:rsidRPr="00186AD1">
              <w:rPr>
                <w:b/>
                <w:bCs/>
              </w:rPr>
              <w:t>Доля объяснимой дисперсии:</w:t>
            </w:r>
          </w:p>
          <w:p w:rsidR="00450F4E" w:rsidRPr="00186AD1" w:rsidRDefault="00450F4E" w:rsidP="00D46913">
            <w:pPr>
              <w:jc w:val="center"/>
            </w:pPr>
            <w:r w:rsidRPr="00186AD1">
              <w:rPr>
                <w:b/>
                <w:i/>
              </w:rPr>
              <w:t>87,49%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proofErr w:type="spellStart"/>
            <w:proofErr w:type="gramStart"/>
            <w:r w:rsidRPr="00186AD1">
              <w:rPr>
                <w:color w:val="000000"/>
              </w:rPr>
              <w:t>Эмоцио</w:t>
            </w:r>
            <w:r w:rsidR="00E934BA">
              <w:rPr>
                <w:color w:val="000000"/>
              </w:rPr>
              <w:t>-</w:t>
            </w:r>
            <w:r w:rsidRPr="00186AD1">
              <w:rPr>
                <w:color w:val="000000"/>
              </w:rPr>
              <w:t>нальная</w:t>
            </w:r>
            <w:proofErr w:type="spellEnd"/>
            <w:proofErr w:type="gramEnd"/>
            <w:r w:rsidRPr="00186AD1">
              <w:rPr>
                <w:color w:val="000000"/>
              </w:rPr>
              <w:t xml:space="preserve"> окрашен</w:t>
            </w:r>
            <w:r w:rsidR="00E934BA">
              <w:rPr>
                <w:color w:val="000000"/>
              </w:rPr>
              <w:t>-</w:t>
            </w:r>
            <w:proofErr w:type="spellStart"/>
            <w:r w:rsidRPr="00186AD1">
              <w:rPr>
                <w:color w:val="000000"/>
              </w:rPr>
              <w:t>ность</w:t>
            </w:r>
            <w:proofErr w:type="spellEnd"/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proofErr w:type="spellStart"/>
            <w:proofErr w:type="gramStart"/>
            <w:r w:rsidRPr="00186AD1">
              <w:t>Длитель</w:t>
            </w:r>
            <w:r w:rsidR="00E934BA">
              <w:t>-</w:t>
            </w:r>
            <w:r w:rsidRPr="00186AD1">
              <w:t>ность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proofErr w:type="gramStart"/>
            <w:r w:rsidRPr="00186AD1">
              <w:t>Насыщен</w:t>
            </w:r>
            <w:r w:rsidR="00E934BA">
              <w:t>-</w:t>
            </w:r>
            <w:proofErr w:type="spellStart"/>
            <w:r w:rsidRPr="00186AD1">
              <w:t>ность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t>Стабиль</w:t>
            </w:r>
            <w:r w:rsidR="00E934BA">
              <w:t>-</w:t>
            </w:r>
            <w:r w:rsidRPr="00186AD1">
              <w:t>ность</w:t>
            </w:r>
          </w:p>
        </w:tc>
      </w:tr>
      <w:tr w:rsidR="00450F4E" w:rsidRPr="00186AD1" w:rsidTr="00D46913">
        <w:trPr>
          <w:cantSplit/>
          <w:trHeight w:val="414"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i/>
                <w:color w:val="000000"/>
              </w:rPr>
              <w:t>33,64%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i/>
              </w:rPr>
              <w:t>18,72%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i/>
              </w:rPr>
              <w:t>16,02%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i/>
              </w:rPr>
              <w:t>11,86%</w:t>
            </w: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>1. тревожное – спокойное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0,982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>2. радостное – печальное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0,972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>3. светлое – темное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0,971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4. напряженное – расслабленное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0,965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5. цветное – серое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0,861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>6. яркое – тусклое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-0,784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7. замкнутое – открытое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-0,757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>8. большое – маленькое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0,670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9. длительное – мгновенное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-0,646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0,639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10. широкое – узкое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0,959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11. непрерывное – прерывное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0,846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12. частное – общее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0,799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>13. глубокое – мелкое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0,634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0,718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14. стремительное – застывшее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0,652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15. понятное – непонятное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16. плотное – пустое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0,860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17. активное – пассивное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0,810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>18. ритмичное – неритмичное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0,693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19. объемное – плоское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0,682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>20. обратимое – необратимое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-0,656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>21. постоянное – изменчивое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0,543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0,570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>22. неделимое – делимое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-0,898</w:t>
            </w: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>23. реальное – кажущееся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0,874</w:t>
            </w: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>24. далекое – близкое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-0,547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jc w:val="center"/>
            </w:pPr>
            <w:r w:rsidRPr="00186AD1">
              <w:rPr>
                <w:color w:val="000000"/>
              </w:rPr>
              <w:t>0,555</w:t>
            </w:r>
          </w:p>
        </w:tc>
      </w:tr>
      <w:tr w:rsidR="00450F4E" w:rsidRPr="00186AD1" w:rsidTr="00D46913">
        <w:trPr>
          <w:trHeight w:val="2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r w:rsidRPr="00186AD1">
              <w:t xml:space="preserve">25. ощущаемое – неощущаемое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0F4E" w:rsidRPr="00186AD1" w:rsidRDefault="00450F4E" w:rsidP="00D46913">
            <w:pPr>
              <w:snapToGrid w:val="0"/>
              <w:jc w:val="center"/>
            </w:pPr>
          </w:p>
        </w:tc>
      </w:tr>
    </w:tbl>
    <w:p w:rsidR="00450F4E" w:rsidRPr="00186AD1" w:rsidRDefault="00450F4E" w:rsidP="00186AD1">
      <w:pPr>
        <w:ind w:firstLine="709"/>
        <w:jc w:val="center"/>
        <w:rPr>
          <w:szCs w:val="28"/>
        </w:rPr>
      </w:pPr>
    </w:p>
    <w:p w:rsidR="003A731B" w:rsidRDefault="00450F4E" w:rsidP="00ED6C70">
      <w:pPr>
        <w:ind w:firstLine="709"/>
        <w:jc w:val="both"/>
        <w:rPr>
          <w:szCs w:val="28"/>
        </w:rPr>
      </w:pPr>
      <w:r w:rsidRPr="00186AD1">
        <w:rPr>
          <w:color w:val="000000"/>
          <w:szCs w:val="28"/>
        </w:rPr>
        <w:lastRenderedPageBreak/>
        <w:t>Семантическое пространство оцениваемых объектов было построено в отношении всех четырех факторов</w:t>
      </w:r>
      <w:r w:rsidR="00335534">
        <w:rPr>
          <w:color w:val="000000"/>
          <w:szCs w:val="28"/>
        </w:rPr>
        <w:t>. Р</w:t>
      </w:r>
      <w:r w:rsidR="00335534" w:rsidRPr="00186AD1">
        <w:rPr>
          <w:color w:val="000000"/>
          <w:szCs w:val="28"/>
        </w:rPr>
        <w:t>азмещение объектов оценивания в семантическом пространстве первых двух факторов – «Эмоциональная окрашенность» и «Длительность»</w:t>
      </w:r>
      <w:r w:rsidR="00335534">
        <w:rPr>
          <w:color w:val="000000"/>
          <w:szCs w:val="28"/>
        </w:rPr>
        <w:t xml:space="preserve"> (см. Рис. 1, 2) </w:t>
      </w:r>
      <w:r w:rsidR="003A731B">
        <w:rPr>
          <w:szCs w:val="28"/>
        </w:rPr>
        <w:t>в анализируемых подгруппах мало отлича</w:t>
      </w:r>
      <w:r w:rsidR="00335534">
        <w:rPr>
          <w:szCs w:val="28"/>
        </w:rPr>
        <w:t>е</w:t>
      </w:r>
      <w:r w:rsidR="003A731B">
        <w:rPr>
          <w:szCs w:val="28"/>
        </w:rPr>
        <w:t>тся</w:t>
      </w:r>
      <w:r w:rsidR="00ED6C70">
        <w:rPr>
          <w:szCs w:val="28"/>
        </w:rPr>
        <w:t>: в</w:t>
      </w:r>
      <w:r w:rsidR="003A731B" w:rsidRPr="00186AD1">
        <w:rPr>
          <w:color w:val="000000"/>
          <w:szCs w:val="28"/>
        </w:rPr>
        <w:t xml:space="preserve"> пределах средних значений по обоим факторам оцениваются такие объекты, как: «Прошлое», «Настоящее», «Будущее», </w:t>
      </w:r>
      <w:r w:rsidR="00947736" w:rsidRPr="00186AD1">
        <w:rPr>
          <w:color w:val="000000"/>
          <w:szCs w:val="28"/>
        </w:rPr>
        <w:t>«Сегодня», «Вчера», «Завтра», «Начало», «Конец»</w:t>
      </w:r>
      <w:r w:rsidR="00947736">
        <w:rPr>
          <w:color w:val="000000"/>
          <w:szCs w:val="28"/>
        </w:rPr>
        <w:t xml:space="preserve">, </w:t>
      </w:r>
      <w:r w:rsidR="00947736" w:rsidRPr="00186AD1">
        <w:rPr>
          <w:color w:val="000000"/>
          <w:szCs w:val="28"/>
        </w:rPr>
        <w:t xml:space="preserve">«Тайм-менеджмент», «Пауза», </w:t>
      </w:r>
      <w:r w:rsidR="003A731B" w:rsidRPr="00186AD1">
        <w:rPr>
          <w:color w:val="000000"/>
          <w:szCs w:val="28"/>
        </w:rPr>
        <w:t>«Учебный год», «Пара», «Опоздание». Остальные объекты разме</w:t>
      </w:r>
      <w:r w:rsidR="00ED6C70">
        <w:rPr>
          <w:color w:val="000000"/>
          <w:szCs w:val="28"/>
        </w:rPr>
        <w:t xml:space="preserve">щаются </w:t>
      </w:r>
      <w:r w:rsidR="003A731B" w:rsidRPr="00186AD1">
        <w:rPr>
          <w:color w:val="000000"/>
          <w:szCs w:val="28"/>
        </w:rPr>
        <w:t>следующим образом:</w:t>
      </w:r>
      <w:r w:rsidR="003A731B">
        <w:rPr>
          <w:color w:val="000000"/>
          <w:szCs w:val="28"/>
        </w:rPr>
        <w:t xml:space="preserve"> </w:t>
      </w:r>
      <w:r w:rsidR="003A731B" w:rsidRPr="00186AD1">
        <w:rPr>
          <w:szCs w:val="28"/>
        </w:rPr>
        <w:t>«Вечность» оценивается нейтрально и воспринимается как длительное явление;</w:t>
      </w:r>
      <w:r w:rsidR="003A731B">
        <w:rPr>
          <w:szCs w:val="28"/>
        </w:rPr>
        <w:t xml:space="preserve"> </w:t>
      </w:r>
      <w:r w:rsidR="003A731B" w:rsidRPr="00186AD1">
        <w:rPr>
          <w:szCs w:val="28"/>
        </w:rPr>
        <w:t>«Выходной», «Каникулы»</w:t>
      </w:r>
      <w:r w:rsidR="003A731B">
        <w:rPr>
          <w:szCs w:val="28"/>
        </w:rPr>
        <w:t>,</w:t>
      </w:r>
      <w:r w:rsidR="003A731B" w:rsidRPr="00186AD1">
        <w:rPr>
          <w:szCs w:val="28"/>
        </w:rPr>
        <w:t xml:space="preserve"> «Свободное время» оцениваются положительно и воспринимаются как </w:t>
      </w:r>
      <w:r w:rsidR="00ED6C70">
        <w:rPr>
          <w:szCs w:val="28"/>
        </w:rPr>
        <w:t>скорее кратковременные явления</w:t>
      </w:r>
      <w:r w:rsidR="003A731B" w:rsidRPr="00186AD1">
        <w:rPr>
          <w:szCs w:val="28"/>
        </w:rPr>
        <w:t>;</w:t>
      </w:r>
      <w:r w:rsidR="003A731B" w:rsidRPr="00186AD1">
        <w:rPr>
          <w:rFonts w:eastAsia="Times New Roman"/>
          <w:szCs w:val="28"/>
        </w:rPr>
        <w:t xml:space="preserve"> </w:t>
      </w:r>
      <w:r w:rsidR="003A731B" w:rsidRPr="00186AD1">
        <w:rPr>
          <w:szCs w:val="28"/>
        </w:rPr>
        <w:t>«Академическая задолженность», «Стресс»</w:t>
      </w:r>
      <w:r w:rsidR="00ED6C70">
        <w:rPr>
          <w:szCs w:val="28"/>
        </w:rPr>
        <w:t>, «Цейтнот», «Опоздание»</w:t>
      </w:r>
      <w:r w:rsidR="003A731B" w:rsidRPr="00186AD1">
        <w:rPr>
          <w:szCs w:val="28"/>
        </w:rPr>
        <w:t xml:space="preserve"> оцениваются отрицательно и воспринимаются как я</w:t>
      </w:r>
      <w:r w:rsidR="00ED6C70">
        <w:rPr>
          <w:szCs w:val="28"/>
        </w:rPr>
        <w:t xml:space="preserve">вления со средней длительностью; </w:t>
      </w:r>
      <w:r w:rsidR="00ED6C70" w:rsidRPr="00186AD1">
        <w:rPr>
          <w:szCs w:val="28"/>
        </w:rPr>
        <w:t>«Вечность» оценивается нейтрально и воспри</w:t>
      </w:r>
      <w:r w:rsidR="00ED6C70">
        <w:rPr>
          <w:szCs w:val="28"/>
        </w:rPr>
        <w:t xml:space="preserve">нимается как длительное явление. Единственным отчетливым различием является оценивание категории </w:t>
      </w:r>
      <w:r w:rsidR="00ED6C70" w:rsidRPr="00186AD1">
        <w:rPr>
          <w:szCs w:val="28"/>
        </w:rPr>
        <w:t>«Будущее»</w:t>
      </w:r>
      <w:r w:rsidR="00ED6C70">
        <w:rPr>
          <w:szCs w:val="28"/>
        </w:rPr>
        <w:t xml:space="preserve">: студентам, склонным к прокрастинации, оно видится в </w:t>
      </w:r>
      <w:r w:rsidR="001331AC">
        <w:rPr>
          <w:szCs w:val="28"/>
        </w:rPr>
        <w:t>выраженно</w:t>
      </w:r>
      <w:r w:rsidR="00ED6C70">
        <w:rPr>
          <w:szCs w:val="28"/>
        </w:rPr>
        <w:t xml:space="preserve"> </w:t>
      </w:r>
      <w:r w:rsidR="00ED6C70" w:rsidRPr="00186AD1">
        <w:rPr>
          <w:szCs w:val="28"/>
        </w:rPr>
        <w:t>позитивно</w:t>
      </w:r>
      <w:r w:rsidR="00ED6C70">
        <w:rPr>
          <w:szCs w:val="28"/>
        </w:rPr>
        <w:t>м свете</w:t>
      </w:r>
      <w:r w:rsidR="00ED6C70" w:rsidRPr="00186AD1">
        <w:rPr>
          <w:szCs w:val="28"/>
        </w:rPr>
        <w:t xml:space="preserve"> и воспринимается </w:t>
      </w:r>
      <w:r w:rsidR="00ED6C70">
        <w:rPr>
          <w:szCs w:val="28"/>
        </w:rPr>
        <w:t xml:space="preserve">ими </w:t>
      </w:r>
      <w:r w:rsidR="00ED6C70" w:rsidRPr="00186AD1">
        <w:rPr>
          <w:szCs w:val="28"/>
        </w:rPr>
        <w:t xml:space="preserve">как </w:t>
      </w:r>
      <w:r w:rsidR="001331AC">
        <w:rPr>
          <w:szCs w:val="28"/>
        </w:rPr>
        <w:t xml:space="preserve">более </w:t>
      </w:r>
      <w:r w:rsidR="00ED6C70" w:rsidRPr="00186AD1">
        <w:rPr>
          <w:szCs w:val="28"/>
        </w:rPr>
        <w:t>длительное явление</w:t>
      </w:r>
      <w:r w:rsidR="00ED6C70">
        <w:rPr>
          <w:szCs w:val="28"/>
        </w:rPr>
        <w:t>.</w:t>
      </w:r>
    </w:p>
    <w:p w:rsidR="00335534" w:rsidRDefault="00335534" w:rsidP="00335534">
      <w:pPr>
        <w:ind w:firstLine="709"/>
        <w:jc w:val="both"/>
        <w:rPr>
          <w:color w:val="000000"/>
          <w:szCs w:val="28"/>
        </w:rPr>
      </w:pPr>
    </w:p>
    <w:p w:rsidR="00335534" w:rsidRPr="00186AD1" w:rsidRDefault="00335534" w:rsidP="00335534">
      <w:pPr>
        <w:ind w:firstLine="709"/>
        <w:jc w:val="center"/>
        <w:rPr>
          <w:szCs w:val="28"/>
        </w:rPr>
      </w:pPr>
      <w:r w:rsidRPr="00186AD1">
        <w:rPr>
          <w:noProof/>
          <w:szCs w:val="28"/>
          <w:lang w:eastAsia="ru-RU"/>
        </w:rPr>
        <w:drawing>
          <wp:inline distT="0" distB="0" distL="0" distR="0" wp14:anchorId="6785DE4B" wp14:editId="15ADE3AD">
            <wp:extent cx="5281200" cy="396000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396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34" w:rsidRDefault="00335534" w:rsidP="00335534">
      <w:pPr>
        <w:ind w:firstLine="709"/>
        <w:jc w:val="both"/>
        <w:rPr>
          <w:szCs w:val="28"/>
        </w:rPr>
      </w:pPr>
      <w:r w:rsidRPr="00186AD1">
        <w:rPr>
          <w:szCs w:val="28"/>
        </w:rPr>
        <w:t>Рис. 1. Размещение объектов оценивания в семантическом пространстве факторов «</w:t>
      </w:r>
      <w:r w:rsidRPr="00186AD1">
        <w:rPr>
          <w:color w:val="000000"/>
          <w:szCs w:val="28"/>
        </w:rPr>
        <w:t>Эмоциональная окрашенность</w:t>
      </w:r>
      <w:r w:rsidRPr="00186AD1">
        <w:rPr>
          <w:szCs w:val="28"/>
        </w:rPr>
        <w:t xml:space="preserve">» </w:t>
      </w:r>
      <w:r w:rsidRPr="00186AD1">
        <w:rPr>
          <w:color w:val="000000"/>
          <w:szCs w:val="28"/>
        </w:rPr>
        <w:t>–</w:t>
      </w:r>
      <w:r w:rsidRPr="00186AD1">
        <w:rPr>
          <w:szCs w:val="28"/>
        </w:rPr>
        <w:t xml:space="preserve"> «Длительность» (студенты-второкурсники, несклонные к прокрастинации)</w:t>
      </w:r>
    </w:p>
    <w:p w:rsidR="00335534" w:rsidRPr="00186AD1" w:rsidRDefault="00335534" w:rsidP="00ED6C70">
      <w:pPr>
        <w:ind w:firstLine="709"/>
        <w:jc w:val="both"/>
        <w:rPr>
          <w:color w:val="000000"/>
          <w:szCs w:val="28"/>
        </w:rPr>
      </w:pPr>
    </w:p>
    <w:p w:rsidR="00450F4E" w:rsidRPr="00186AD1" w:rsidRDefault="00ED6C70" w:rsidP="00186AD1">
      <w:pPr>
        <w:ind w:firstLine="709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277600" cy="3960000"/>
            <wp:effectExtent l="0" t="0" r="0" b="2540"/>
            <wp:docPr id="5" name="Рисунок 5" descr="C:\Users\12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50" b="12286"/>
                    <a:stretch/>
                  </pic:blipFill>
                  <pic:spPr bwMode="auto">
                    <a:xfrm>
                      <a:off x="0" y="0"/>
                      <a:ext cx="52776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C70" w:rsidRDefault="00ED6C70" w:rsidP="00186AD1">
      <w:pPr>
        <w:ind w:firstLine="709"/>
        <w:jc w:val="both"/>
        <w:rPr>
          <w:szCs w:val="28"/>
        </w:rPr>
      </w:pPr>
    </w:p>
    <w:p w:rsidR="00450F4E" w:rsidRPr="00186AD1" w:rsidRDefault="00450F4E" w:rsidP="00186AD1">
      <w:pPr>
        <w:ind w:firstLine="709"/>
        <w:jc w:val="both"/>
        <w:rPr>
          <w:color w:val="000000"/>
          <w:szCs w:val="28"/>
        </w:rPr>
      </w:pPr>
      <w:r w:rsidRPr="00186AD1">
        <w:rPr>
          <w:szCs w:val="28"/>
        </w:rPr>
        <w:t>Рис. 2. Размещение объектов оценивания в семантическом пространстве факторов «</w:t>
      </w:r>
      <w:r w:rsidRPr="00186AD1">
        <w:rPr>
          <w:color w:val="000000"/>
          <w:szCs w:val="28"/>
        </w:rPr>
        <w:t>Эмоциональная окрашенность</w:t>
      </w:r>
      <w:r w:rsidRPr="00186AD1">
        <w:rPr>
          <w:szCs w:val="28"/>
        </w:rPr>
        <w:t xml:space="preserve">» </w:t>
      </w:r>
      <w:r w:rsidRPr="00186AD1">
        <w:rPr>
          <w:color w:val="000000"/>
          <w:szCs w:val="28"/>
        </w:rPr>
        <w:t>–</w:t>
      </w:r>
      <w:r w:rsidRPr="00186AD1">
        <w:rPr>
          <w:szCs w:val="28"/>
        </w:rPr>
        <w:t xml:space="preserve"> «Длительность» (студенты-второкурсники, склонные к прокрастинации)</w:t>
      </w:r>
    </w:p>
    <w:p w:rsidR="00450F4E" w:rsidRDefault="00450F4E" w:rsidP="00186AD1">
      <w:pPr>
        <w:ind w:firstLine="709"/>
        <w:jc w:val="both"/>
        <w:rPr>
          <w:color w:val="000000"/>
          <w:szCs w:val="28"/>
        </w:rPr>
      </w:pPr>
    </w:p>
    <w:p w:rsidR="00D46913" w:rsidRDefault="00450F4E" w:rsidP="000378E7">
      <w:pPr>
        <w:ind w:firstLine="709"/>
        <w:jc w:val="both"/>
        <w:rPr>
          <w:szCs w:val="28"/>
        </w:rPr>
      </w:pPr>
      <w:r w:rsidRPr="00186AD1">
        <w:rPr>
          <w:color w:val="000000"/>
          <w:szCs w:val="28"/>
        </w:rPr>
        <w:t xml:space="preserve">Проанализируем размещение объектов оценивания в семантическом пространстве следующих двух факторов – «Насыщенность» и «Стабильность» (см. Рисунки 3, 4). В пределах средних значений по обоим факторам </w:t>
      </w:r>
      <w:r w:rsidR="000378E7">
        <w:rPr>
          <w:color w:val="000000"/>
          <w:szCs w:val="28"/>
        </w:rPr>
        <w:t xml:space="preserve">студентами, несклонными к прокрастинации, </w:t>
      </w:r>
      <w:r w:rsidRPr="00186AD1">
        <w:rPr>
          <w:color w:val="000000"/>
          <w:szCs w:val="28"/>
        </w:rPr>
        <w:t xml:space="preserve">оцениваются такие объекты, как: </w:t>
      </w:r>
      <w:r w:rsidR="000378E7" w:rsidRPr="00186AD1">
        <w:rPr>
          <w:color w:val="000000"/>
          <w:szCs w:val="28"/>
        </w:rPr>
        <w:t xml:space="preserve">«Вечность», «Сегодня», «Настоящее», «Начало», </w:t>
      </w:r>
      <w:r w:rsidRPr="00186AD1">
        <w:rPr>
          <w:color w:val="000000"/>
          <w:szCs w:val="28"/>
        </w:rPr>
        <w:t xml:space="preserve">«Конец», </w:t>
      </w:r>
      <w:r w:rsidR="000378E7" w:rsidRPr="00186AD1">
        <w:rPr>
          <w:color w:val="000000"/>
          <w:szCs w:val="28"/>
        </w:rPr>
        <w:t xml:space="preserve">«Тайм-менеджмент», «Цейтнот», </w:t>
      </w:r>
      <w:r w:rsidRPr="00186AD1">
        <w:rPr>
          <w:color w:val="000000"/>
          <w:szCs w:val="28"/>
        </w:rPr>
        <w:t xml:space="preserve">«Стресс», «Выходной», «Каникулы», «Свободное время», «Учебный год», «Академическая задолженность», «Опоздание», «Пара». </w:t>
      </w:r>
      <w:r w:rsidR="000378E7">
        <w:rPr>
          <w:szCs w:val="28"/>
        </w:rPr>
        <w:t>Второкурсники-</w:t>
      </w:r>
      <w:proofErr w:type="spellStart"/>
      <w:r w:rsidR="000378E7">
        <w:rPr>
          <w:szCs w:val="28"/>
        </w:rPr>
        <w:t>прокрастинаторы</w:t>
      </w:r>
      <w:proofErr w:type="spellEnd"/>
      <w:r w:rsidR="000378E7">
        <w:rPr>
          <w:szCs w:val="28"/>
        </w:rPr>
        <w:t xml:space="preserve"> подобным образом оценивают </w:t>
      </w:r>
      <w:r w:rsidR="00D46913" w:rsidRPr="00186AD1">
        <w:rPr>
          <w:szCs w:val="28"/>
        </w:rPr>
        <w:t xml:space="preserve">такие объекты как: </w:t>
      </w:r>
      <w:r w:rsidR="000378E7" w:rsidRPr="00186AD1">
        <w:rPr>
          <w:szCs w:val="28"/>
        </w:rPr>
        <w:t xml:space="preserve">«Начало», </w:t>
      </w:r>
      <w:r w:rsidR="00D46913" w:rsidRPr="00186AD1">
        <w:rPr>
          <w:szCs w:val="28"/>
        </w:rPr>
        <w:t xml:space="preserve">«Конец», «Пара», </w:t>
      </w:r>
      <w:r w:rsidR="000378E7" w:rsidRPr="00186AD1">
        <w:rPr>
          <w:szCs w:val="28"/>
        </w:rPr>
        <w:t xml:space="preserve">«Тайм-менеджмент», «Стресс», «Опоздание», </w:t>
      </w:r>
      <w:r w:rsidR="00D46913" w:rsidRPr="00186AD1">
        <w:rPr>
          <w:szCs w:val="28"/>
        </w:rPr>
        <w:t xml:space="preserve">«Каникулы», «Свободное время», «Выходной», «Академическая задолженность». </w:t>
      </w:r>
    </w:p>
    <w:p w:rsidR="00D46913" w:rsidRPr="00186AD1" w:rsidRDefault="00D46913" w:rsidP="00D46913">
      <w:pPr>
        <w:ind w:firstLine="709"/>
        <w:jc w:val="both"/>
        <w:rPr>
          <w:szCs w:val="28"/>
        </w:rPr>
      </w:pPr>
      <w:bookmarkStart w:id="0" w:name="_GoBack"/>
      <w:r w:rsidRPr="00186AD1"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966164C" wp14:editId="6C724556">
            <wp:simplePos x="0" y="0"/>
            <wp:positionH relativeFrom="column">
              <wp:posOffset>586740</wp:posOffset>
            </wp:positionH>
            <wp:positionV relativeFrom="paragraph">
              <wp:posOffset>175260</wp:posOffset>
            </wp:positionV>
            <wp:extent cx="5212080" cy="3566160"/>
            <wp:effectExtent l="0" t="0" r="7620" b="0"/>
            <wp:wrapTight wrapText="bothSides">
              <wp:wrapPolygon edited="0">
                <wp:start x="0" y="0"/>
                <wp:lineTo x="0" y="21462"/>
                <wp:lineTo x="21553" y="21462"/>
                <wp:lineTo x="215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56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Default="00D46913" w:rsidP="00D46913">
      <w:pPr>
        <w:jc w:val="both"/>
        <w:rPr>
          <w:szCs w:val="28"/>
        </w:rPr>
      </w:pPr>
    </w:p>
    <w:p w:rsidR="00D46913" w:rsidRPr="00186AD1" w:rsidRDefault="00D46913" w:rsidP="00D46913">
      <w:pPr>
        <w:ind w:firstLine="709"/>
        <w:jc w:val="both"/>
      </w:pPr>
      <w:r w:rsidRPr="00186AD1">
        <w:rPr>
          <w:szCs w:val="28"/>
        </w:rPr>
        <w:t xml:space="preserve">Рис. 3 Размещение объектов оценивания в семантическом пространстве факторов «Насыщенность» </w:t>
      </w:r>
      <w:r w:rsidRPr="00186AD1">
        <w:rPr>
          <w:color w:val="000000"/>
          <w:szCs w:val="28"/>
        </w:rPr>
        <w:t>–</w:t>
      </w:r>
      <w:r w:rsidRPr="00186AD1">
        <w:rPr>
          <w:szCs w:val="28"/>
        </w:rPr>
        <w:t xml:space="preserve"> «Стабильность» (студенты-второкурсники, несклонные к прокрастинации)</w:t>
      </w:r>
    </w:p>
    <w:p w:rsidR="00D46913" w:rsidRPr="00186AD1" w:rsidRDefault="00D46913" w:rsidP="00D46913">
      <w:pPr>
        <w:ind w:firstLine="709"/>
        <w:jc w:val="center"/>
        <w:rPr>
          <w:szCs w:val="28"/>
        </w:rPr>
      </w:pPr>
      <w:r w:rsidRPr="00186AD1">
        <w:rPr>
          <w:noProof/>
          <w:szCs w:val="28"/>
        </w:rPr>
        <w:drawing>
          <wp:inline distT="0" distB="0" distL="0" distR="0" wp14:anchorId="42EC2CBC" wp14:editId="797CF312">
            <wp:extent cx="5029200" cy="3749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49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13" w:rsidRPr="00186AD1" w:rsidRDefault="00D46913" w:rsidP="00D46913">
      <w:pPr>
        <w:ind w:firstLine="709"/>
        <w:jc w:val="both"/>
        <w:rPr>
          <w:rFonts w:eastAsia="Times New Roman"/>
          <w:color w:val="000000"/>
          <w:szCs w:val="28"/>
        </w:rPr>
      </w:pPr>
      <w:r w:rsidRPr="00186AD1">
        <w:rPr>
          <w:szCs w:val="28"/>
        </w:rPr>
        <w:t xml:space="preserve">Рис. 4 Размещение объектов оценивания в семантическом пространстве факторов «Насыщенность» </w:t>
      </w:r>
      <w:r w:rsidRPr="00186AD1">
        <w:rPr>
          <w:color w:val="000000"/>
          <w:szCs w:val="28"/>
        </w:rPr>
        <w:t>–</w:t>
      </w:r>
      <w:r w:rsidRPr="00186AD1">
        <w:rPr>
          <w:szCs w:val="28"/>
        </w:rPr>
        <w:t xml:space="preserve"> «Стабильность» (студенты-второкурсники, склонные к прокрастинации)</w:t>
      </w:r>
    </w:p>
    <w:p w:rsidR="00EC6627" w:rsidRPr="00F16631" w:rsidRDefault="00EC6627" w:rsidP="00D46913">
      <w:pPr>
        <w:ind w:firstLine="709"/>
        <w:jc w:val="both"/>
        <w:rPr>
          <w:rFonts w:eastAsia="Times New Roman"/>
          <w:color w:val="000000"/>
          <w:lang w:eastAsia="en-US"/>
        </w:rPr>
      </w:pPr>
    </w:p>
    <w:p w:rsidR="009171FB" w:rsidRPr="00F16631" w:rsidRDefault="00EC6627" w:rsidP="009171FB">
      <w:pPr>
        <w:ind w:firstLine="709"/>
        <w:jc w:val="both"/>
        <w:rPr>
          <w:rFonts w:eastAsia="Times New Roman"/>
          <w:color w:val="000000"/>
          <w:lang w:eastAsia="en-US"/>
        </w:rPr>
      </w:pPr>
      <w:r w:rsidRPr="00F16631">
        <w:rPr>
          <w:rFonts w:eastAsia="Times New Roman"/>
          <w:color w:val="000000"/>
          <w:lang w:eastAsia="en-US"/>
        </w:rPr>
        <w:t>Интересно, что д</w:t>
      </w:r>
      <w:r w:rsidR="00D46913" w:rsidRPr="00F16631">
        <w:rPr>
          <w:rFonts w:eastAsia="Times New Roman"/>
          <w:color w:val="000000"/>
          <w:lang w:eastAsia="en-US"/>
        </w:rPr>
        <w:t>ля второкурсников-</w:t>
      </w:r>
      <w:proofErr w:type="spellStart"/>
      <w:r w:rsidR="00D46913" w:rsidRPr="00F16631">
        <w:rPr>
          <w:rFonts w:eastAsia="Times New Roman"/>
          <w:color w:val="000000"/>
          <w:lang w:eastAsia="en-US"/>
        </w:rPr>
        <w:t>прокрастинаторов</w:t>
      </w:r>
      <w:proofErr w:type="spellEnd"/>
      <w:r w:rsidR="00D46913" w:rsidRPr="00F16631">
        <w:rPr>
          <w:rFonts w:eastAsia="Times New Roman"/>
          <w:color w:val="000000"/>
          <w:lang w:eastAsia="en-US"/>
        </w:rPr>
        <w:t xml:space="preserve"> наиболее насыщенным становится настоящее, практически сливающееся в их сознании с сегодняшним днем, </w:t>
      </w:r>
      <w:r w:rsidR="00D46913" w:rsidRPr="00F16631">
        <w:rPr>
          <w:rFonts w:eastAsia="Times New Roman"/>
          <w:color w:val="000000"/>
          <w:lang w:eastAsia="en-US"/>
        </w:rPr>
        <w:lastRenderedPageBreak/>
        <w:t xml:space="preserve">цейтнотом и учебным годом, в то время как для студентов, не склонных откладывать выполнение учебных задач, таковыми являются прошлое и будущее. </w:t>
      </w:r>
      <w:r w:rsidRPr="00F16631">
        <w:rPr>
          <w:rFonts w:eastAsia="Times New Roman"/>
          <w:color w:val="000000"/>
          <w:lang w:eastAsia="en-US"/>
        </w:rPr>
        <w:t>Можно предположить</w:t>
      </w:r>
      <w:r w:rsidR="00D46913" w:rsidRPr="00F16631">
        <w:rPr>
          <w:rFonts w:eastAsia="Times New Roman"/>
          <w:color w:val="000000"/>
          <w:lang w:eastAsia="en-US"/>
        </w:rPr>
        <w:t xml:space="preserve">, </w:t>
      </w:r>
      <w:r w:rsidRPr="00F16631">
        <w:rPr>
          <w:rFonts w:eastAsia="Times New Roman"/>
          <w:color w:val="000000"/>
          <w:lang w:eastAsia="en-US"/>
        </w:rPr>
        <w:t xml:space="preserve">что </w:t>
      </w:r>
      <w:r w:rsidR="00D46913" w:rsidRPr="00F16631">
        <w:rPr>
          <w:rFonts w:eastAsia="Times New Roman"/>
          <w:color w:val="000000"/>
          <w:lang w:eastAsia="en-US"/>
        </w:rPr>
        <w:t xml:space="preserve">при перенасыщенности событиями настоящего, ассоциируемого с постоянной нехваткой времени, прошлое и будущее для </w:t>
      </w:r>
      <w:proofErr w:type="spellStart"/>
      <w:r w:rsidR="00D46913" w:rsidRPr="00F16631">
        <w:rPr>
          <w:rFonts w:eastAsia="Times New Roman"/>
          <w:color w:val="000000"/>
          <w:lang w:eastAsia="en-US"/>
        </w:rPr>
        <w:t>прокрастинатора</w:t>
      </w:r>
      <w:proofErr w:type="spellEnd"/>
      <w:r w:rsidR="00D46913" w:rsidRPr="00F16631">
        <w:rPr>
          <w:rFonts w:eastAsia="Times New Roman"/>
          <w:color w:val="000000"/>
          <w:lang w:eastAsia="en-US"/>
        </w:rPr>
        <w:t xml:space="preserve"> не заполнены, то есть доступны для пер</w:t>
      </w:r>
      <w:r w:rsidRPr="00F16631">
        <w:rPr>
          <w:rFonts w:eastAsia="Times New Roman"/>
          <w:color w:val="000000"/>
          <w:lang w:eastAsia="en-US"/>
        </w:rPr>
        <w:t xml:space="preserve">еноса части текущей активности, </w:t>
      </w:r>
      <w:r w:rsidRPr="00F16631">
        <w:rPr>
          <w:rFonts w:eastAsia="Times New Roman"/>
          <w:lang w:eastAsia="en-US"/>
        </w:rPr>
        <w:t xml:space="preserve">что, </w:t>
      </w:r>
      <w:r w:rsidR="009171FB" w:rsidRPr="00F16631">
        <w:rPr>
          <w:rFonts w:eastAsia="Times New Roman"/>
          <w:lang w:eastAsia="en-US"/>
        </w:rPr>
        <w:t>возможно, и порождает склонность к академической прокрастинации.</w:t>
      </w:r>
    </w:p>
    <w:p w:rsidR="009171FB" w:rsidRDefault="009171FB" w:rsidP="009171FB">
      <w:pPr>
        <w:ind w:firstLine="709"/>
        <w:jc w:val="both"/>
        <w:rPr>
          <w:rFonts w:eastAsia="Times New Roman"/>
          <w:color w:val="000000"/>
          <w:lang w:eastAsia="en-US"/>
        </w:rPr>
      </w:pPr>
      <w:r w:rsidRPr="00F16631">
        <w:t>Таким образом, в ходе исследования в</w:t>
      </w:r>
      <w:r w:rsidRPr="00F16631">
        <w:rPr>
          <w:rFonts w:eastAsia="Times New Roman"/>
          <w:color w:val="000000"/>
          <w:lang w:eastAsia="en-US"/>
        </w:rPr>
        <w:t xml:space="preserve">ыявлены как </w:t>
      </w:r>
      <w:r w:rsidRPr="00F16631">
        <w:rPr>
          <w:rFonts w:eastAsia="Times New Roman"/>
          <w:lang w:eastAsia="en-US"/>
        </w:rPr>
        <w:t>сходства в восприятии времени студентами с выраженной и невыраженной склонностью к академической прокрастинации (что закономерно в силу характера рассматриваемого явления, так как время относится к числу баз</w:t>
      </w:r>
      <w:r>
        <w:rPr>
          <w:rFonts w:eastAsia="Times New Roman"/>
          <w:lang w:eastAsia="en-US"/>
        </w:rPr>
        <w:t>исных категорий сознания</w:t>
      </w:r>
      <w:r w:rsidRPr="00F16631">
        <w:rPr>
          <w:rFonts w:eastAsia="Times New Roman"/>
          <w:lang w:eastAsia="en-US"/>
        </w:rPr>
        <w:t xml:space="preserve">), </w:t>
      </w:r>
      <w:r w:rsidRPr="00F16631">
        <w:rPr>
          <w:rFonts w:eastAsia="Times New Roman"/>
          <w:color w:val="000000"/>
          <w:lang w:eastAsia="en-US"/>
        </w:rPr>
        <w:t xml:space="preserve">так и </w:t>
      </w:r>
      <w:r>
        <w:rPr>
          <w:rFonts w:eastAsia="Times New Roman"/>
          <w:color w:val="000000"/>
          <w:lang w:eastAsia="en-US"/>
        </w:rPr>
        <w:t xml:space="preserve">определенные </w:t>
      </w:r>
      <w:r w:rsidRPr="00F16631">
        <w:rPr>
          <w:rFonts w:eastAsia="Times New Roman"/>
          <w:color w:val="000000"/>
          <w:lang w:eastAsia="en-US"/>
        </w:rPr>
        <w:t xml:space="preserve">различия в конструктах сознания, которые могут определять развитие </w:t>
      </w:r>
      <w:r>
        <w:rPr>
          <w:rFonts w:eastAsia="Times New Roman"/>
          <w:color w:val="000000"/>
          <w:lang w:eastAsia="en-US"/>
        </w:rPr>
        <w:t>указанной</w:t>
      </w:r>
      <w:r w:rsidRPr="00F16631">
        <w:rPr>
          <w:rFonts w:eastAsia="Times New Roman"/>
          <w:color w:val="000000"/>
          <w:lang w:eastAsia="en-US"/>
        </w:rPr>
        <w:t xml:space="preserve"> склонности.</w:t>
      </w:r>
    </w:p>
    <w:p w:rsidR="00104F0A" w:rsidRDefault="00104F0A" w:rsidP="009171FB">
      <w:pPr>
        <w:ind w:firstLine="709"/>
        <w:jc w:val="both"/>
        <w:rPr>
          <w:rFonts w:eastAsia="Times New Roman"/>
          <w:color w:val="000000"/>
          <w:lang w:eastAsia="en-US"/>
        </w:rPr>
      </w:pPr>
    </w:p>
    <w:p w:rsidR="00104F0A" w:rsidRPr="00104F0A" w:rsidRDefault="00104F0A" w:rsidP="00104F0A">
      <w:pPr>
        <w:ind w:firstLine="709"/>
        <w:jc w:val="center"/>
        <w:rPr>
          <w:rFonts w:eastAsia="Times New Roman"/>
          <w:b/>
          <w:color w:val="000000"/>
          <w:lang w:eastAsia="en-US"/>
        </w:rPr>
      </w:pPr>
      <w:r w:rsidRPr="00104F0A">
        <w:rPr>
          <w:rFonts w:eastAsia="Times New Roman"/>
          <w:b/>
          <w:color w:val="000000"/>
          <w:lang w:eastAsia="en-US"/>
        </w:rPr>
        <w:t>СПИСОК ЛИТЕРАТУРЫ</w:t>
      </w:r>
    </w:p>
    <w:p w:rsidR="00104F0A" w:rsidRPr="00104F0A" w:rsidRDefault="00104F0A" w:rsidP="00104F0A">
      <w:pPr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1. </w:t>
      </w:r>
      <w:proofErr w:type="spellStart"/>
      <w:r w:rsidRPr="00104F0A">
        <w:rPr>
          <w:rFonts w:eastAsia="Times New Roman"/>
          <w:color w:val="000000"/>
          <w:lang w:eastAsia="en-US"/>
        </w:rPr>
        <w:t>Барабанщикова</w:t>
      </w:r>
      <w:proofErr w:type="spellEnd"/>
      <w:r w:rsidRPr="00104F0A">
        <w:rPr>
          <w:rFonts w:eastAsia="Times New Roman"/>
          <w:color w:val="000000"/>
          <w:lang w:eastAsia="en-US"/>
        </w:rPr>
        <w:t xml:space="preserve">, В.В. Феномен прокрастинации в деятельности членов виртуальных проектных групп / В.В. </w:t>
      </w:r>
      <w:proofErr w:type="spellStart"/>
      <w:r w:rsidRPr="00104F0A">
        <w:rPr>
          <w:rFonts w:eastAsia="Times New Roman"/>
          <w:color w:val="000000"/>
          <w:lang w:eastAsia="en-US"/>
        </w:rPr>
        <w:t>Барабанщикова</w:t>
      </w:r>
      <w:proofErr w:type="spellEnd"/>
      <w:r w:rsidRPr="00104F0A">
        <w:rPr>
          <w:rFonts w:eastAsia="Times New Roman"/>
          <w:color w:val="000000"/>
          <w:lang w:eastAsia="en-US"/>
        </w:rPr>
        <w:t>, Е.О. Каминская // Национальный психологический журнал. – 2013. – № 2. – С.43–51.</w:t>
      </w:r>
    </w:p>
    <w:p w:rsidR="00104F0A" w:rsidRPr="00104F0A" w:rsidRDefault="00104F0A" w:rsidP="00104F0A">
      <w:pPr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2. </w:t>
      </w:r>
      <w:proofErr w:type="spellStart"/>
      <w:r w:rsidRPr="00104F0A">
        <w:rPr>
          <w:rFonts w:eastAsia="Times New Roman"/>
          <w:color w:val="000000"/>
          <w:lang w:eastAsia="en-US"/>
        </w:rPr>
        <w:t>Вассерман</w:t>
      </w:r>
      <w:proofErr w:type="spellEnd"/>
      <w:r w:rsidRPr="00104F0A">
        <w:rPr>
          <w:rFonts w:eastAsia="Times New Roman"/>
          <w:color w:val="000000"/>
          <w:lang w:eastAsia="en-US"/>
        </w:rPr>
        <w:t xml:space="preserve">, Л.И., Семантический дифференциал времени: экспертная психодиагностическая система в медицинской психологии: пособие для врачей и медицинских психологов / Л.И. </w:t>
      </w:r>
      <w:proofErr w:type="spellStart"/>
      <w:r w:rsidRPr="00104F0A">
        <w:rPr>
          <w:rFonts w:eastAsia="Times New Roman"/>
          <w:color w:val="000000"/>
          <w:lang w:eastAsia="en-US"/>
        </w:rPr>
        <w:t>Вассерман</w:t>
      </w:r>
      <w:proofErr w:type="spellEnd"/>
      <w:r w:rsidRPr="00104F0A">
        <w:rPr>
          <w:rFonts w:eastAsia="Times New Roman"/>
          <w:color w:val="000000"/>
          <w:lang w:eastAsia="en-US"/>
        </w:rPr>
        <w:t xml:space="preserve">, Е.А. Трифонова, К.Р. </w:t>
      </w:r>
      <w:proofErr w:type="spellStart"/>
      <w:r w:rsidRPr="00104F0A">
        <w:rPr>
          <w:rFonts w:eastAsia="Times New Roman"/>
          <w:color w:val="000000"/>
          <w:lang w:eastAsia="en-US"/>
        </w:rPr>
        <w:t>Червинская</w:t>
      </w:r>
      <w:proofErr w:type="spellEnd"/>
      <w:r w:rsidRPr="00104F0A">
        <w:rPr>
          <w:rFonts w:eastAsia="Times New Roman"/>
          <w:color w:val="000000"/>
          <w:lang w:eastAsia="en-US"/>
        </w:rPr>
        <w:t>. – СПб: НИПНИ им. В.М. Бехтерева, 2009. – 43 с.</w:t>
      </w:r>
    </w:p>
    <w:p w:rsidR="00104F0A" w:rsidRPr="00104F0A" w:rsidRDefault="00104F0A" w:rsidP="00104F0A">
      <w:pPr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3. </w:t>
      </w:r>
      <w:proofErr w:type="spellStart"/>
      <w:r w:rsidRPr="00104F0A">
        <w:rPr>
          <w:rFonts w:eastAsia="Times New Roman"/>
          <w:color w:val="000000"/>
          <w:lang w:eastAsia="en-US"/>
        </w:rPr>
        <w:t>Вьюжанина</w:t>
      </w:r>
      <w:proofErr w:type="spellEnd"/>
      <w:r w:rsidRPr="00104F0A">
        <w:rPr>
          <w:rFonts w:eastAsia="Times New Roman"/>
          <w:color w:val="000000"/>
          <w:lang w:eastAsia="en-US"/>
        </w:rPr>
        <w:t xml:space="preserve">, С.А. К вопросу об академической адаптации второкурсников регионального вуза: внешние и внутренние факторы дезадаптации / С.А. </w:t>
      </w:r>
      <w:proofErr w:type="spellStart"/>
      <w:r w:rsidRPr="00104F0A">
        <w:rPr>
          <w:rFonts w:eastAsia="Times New Roman"/>
          <w:color w:val="000000"/>
          <w:lang w:eastAsia="en-US"/>
        </w:rPr>
        <w:t>Вьюжанина</w:t>
      </w:r>
      <w:proofErr w:type="spellEnd"/>
      <w:r w:rsidRPr="00104F0A">
        <w:rPr>
          <w:rFonts w:eastAsia="Times New Roman"/>
          <w:color w:val="000000"/>
          <w:lang w:eastAsia="en-US"/>
        </w:rPr>
        <w:t>, О.В. Кожевникова // Актуальные тенденции социальных коммуникаций: история и современность: сб. науч. ст.</w:t>
      </w:r>
      <w:r w:rsidR="00677720">
        <w:rPr>
          <w:rFonts w:eastAsia="Times New Roman"/>
          <w:color w:val="000000"/>
          <w:lang w:eastAsia="en-US"/>
        </w:rPr>
        <w:t xml:space="preserve"> –</w:t>
      </w:r>
      <w:r w:rsidRPr="00104F0A">
        <w:rPr>
          <w:rFonts w:eastAsia="Times New Roman"/>
          <w:color w:val="000000"/>
          <w:lang w:eastAsia="en-US"/>
        </w:rPr>
        <w:t xml:space="preserve"> Ижевск: Удмуртский университет, 2016. – С. 238–243.</w:t>
      </w:r>
    </w:p>
    <w:p w:rsidR="00104F0A" w:rsidRPr="00104F0A" w:rsidRDefault="00104F0A" w:rsidP="00104F0A">
      <w:pPr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4</w:t>
      </w:r>
      <w:r w:rsidRPr="00104F0A">
        <w:rPr>
          <w:rFonts w:eastAsia="Times New Roman"/>
          <w:color w:val="000000"/>
          <w:lang w:eastAsia="en-US"/>
        </w:rPr>
        <w:t>. Митина, О.В. Математические метод</w:t>
      </w:r>
      <w:r>
        <w:rPr>
          <w:rFonts w:eastAsia="Times New Roman"/>
          <w:color w:val="000000"/>
          <w:lang w:eastAsia="en-US"/>
        </w:rPr>
        <w:t xml:space="preserve">ы </w:t>
      </w:r>
      <w:proofErr w:type="spellStart"/>
      <w:r>
        <w:rPr>
          <w:rFonts w:eastAsia="Times New Roman"/>
          <w:color w:val="000000"/>
          <w:lang w:eastAsia="en-US"/>
        </w:rPr>
        <w:t>психосемантики</w:t>
      </w:r>
      <w:proofErr w:type="spellEnd"/>
      <w:r>
        <w:rPr>
          <w:rFonts w:eastAsia="Times New Roman"/>
          <w:color w:val="000000"/>
          <w:lang w:eastAsia="en-US"/>
        </w:rPr>
        <w:t xml:space="preserve"> </w:t>
      </w:r>
      <w:r w:rsidRPr="00104F0A">
        <w:rPr>
          <w:rFonts w:eastAsia="Times New Roman"/>
          <w:color w:val="000000"/>
          <w:lang w:eastAsia="en-US"/>
        </w:rPr>
        <w:t>// Когнитивные исследования. – М.: ИП РАН, 2006. – С. 69–94.</w:t>
      </w:r>
    </w:p>
    <w:p w:rsidR="00104F0A" w:rsidRPr="00104F0A" w:rsidRDefault="00104F0A" w:rsidP="00104F0A">
      <w:pPr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5</w:t>
      </w:r>
      <w:r w:rsidRPr="00104F0A">
        <w:rPr>
          <w:rFonts w:eastAsia="Times New Roman"/>
          <w:color w:val="000000"/>
          <w:lang w:eastAsia="en-US"/>
        </w:rPr>
        <w:t xml:space="preserve">. Петренко, В.Ф. Многомерное сознание: </w:t>
      </w:r>
      <w:proofErr w:type="spellStart"/>
      <w:r w:rsidRPr="00104F0A">
        <w:rPr>
          <w:rFonts w:eastAsia="Times New Roman"/>
          <w:color w:val="000000"/>
          <w:lang w:eastAsia="en-US"/>
        </w:rPr>
        <w:t>психосеманти</w:t>
      </w:r>
      <w:r>
        <w:rPr>
          <w:rFonts w:eastAsia="Times New Roman"/>
          <w:color w:val="000000"/>
          <w:lang w:eastAsia="en-US"/>
        </w:rPr>
        <w:t>ческая</w:t>
      </w:r>
      <w:proofErr w:type="spellEnd"/>
      <w:r>
        <w:rPr>
          <w:rFonts w:eastAsia="Times New Roman"/>
          <w:color w:val="000000"/>
          <w:lang w:eastAsia="en-US"/>
        </w:rPr>
        <w:t xml:space="preserve"> парадигма</w:t>
      </w:r>
      <w:r w:rsidRPr="00104F0A">
        <w:rPr>
          <w:rFonts w:eastAsia="Times New Roman"/>
          <w:color w:val="000000"/>
          <w:lang w:eastAsia="en-US"/>
        </w:rPr>
        <w:t>. – М.: Новый хронограф, 2009. – 440 с.</w:t>
      </w:r>
    </w:p>
    <w:p w:rsidR="00104F0A" w:rsidRPr="00F16631" w:rsidRDefault="00104F0A" w:rsidP="00104F0A">
      <w:pPr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6</w:t>
      </w:r>
      <w:r w:rsidRPr="00104F0A">
        <w:rPr>
          <w:rFonts w:eastAsia="Times New Roman"/>
          <w:color w:val="000000"/>
          <w:lang w:eastAsia="en-US"/>
        </w:rPr>
        <w:t>. Петренко, В.Ф. Основ</w:t>
      </w:r>
      <w:r>
        <w:rPr>
          <w:rFonts w:eastAsia="Times New Roman"/>
          <w:color w:val="000000"/>
          <w:lang w:eastAsia="en-US"/>
        </w:rPr>
        <w:t xml:space="preserve">ы </w:t>
      </w:r>
      <w:proofErr w:type="spellStart"/>
      <w:r>
        <w:rPr>
          <w:rFonts w:eastAsia="Times New Roman"/>
          <w:color w:val="000000"/>
          <w:lang w:eastAsia="en-US"/>
        </w:rPr>
        <w:t>психосемантики</w:t>
      </w:r>
      <w:proofErr w:type="spellEnd"/>
      <w:r w:rsidRPr="00104F0A">
        <w:rPr>
          <w:rFonts w:eastAsia="Times New Roman"/>
          <w:color w:val="000000"/>
          <w:lang w:eastAsia="en-US"/>
        </w:rPr>
        <w:t xml:space="preserve">. – М.: </w:t>
      </w:r>
      <w:proofErr w:type="spellStart"/>
      <w:r w:rsidRPr="00104F0A">
        <w:rPr>
          <w:rFonts w:eastAsia="Times New Roman"/>
          <w:color w:val="000000"/>
          <w:lang w:eastAsia="en-US"/>
        </w:rPr>
        <w:t>Эксмо</w:t>
      </w:r>
      <w:proofErr w:type="spellEnd"/>
      <w:r w:rsidRPr="00104F0A">
        <w:rPr>
          <w:rFonts w:eastAsia="Times New Roman"/>
          <w:color w:val="000000"/>
          <w:lang w:eastAsia="en-US"/>
        </w:rPr>
        <w:t>, 2010. – 480 с.</w:t>
      </w:r>
    </w:p>
    <w:sectPr w:rsidR="00104F0A" w:rsidRPr="00F16631" w:rsidSect="00077B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4E"/>
    <w:rsid w:val="000378E7"/>
    <w:rsid w:val="00066328"/>
    <w:rsid w:val="00077BEF"/>
    <w:rsid w:val="000A5C2F"/>
    <w:rsid w:val="00104F0A"/>
    <w:rsid w:val="001331AC"/>
    <w:rsid w:val="001541D7"/>
    <w:rsid w:val="00186AD1"/>
    <w:rsid w:val="0028508F"/>
    <w:rsid w:val="002F394F"/>
    <w:rsid w:val="00335534"/>
    <w:rsid w:val="00352241"/>
    <w:rsid w:val="003A731B"/>
    <w:rsid w:val="00450F4E"/>
    <w:rsid w:val="0046360E"/>
    <w:rsid w:val="0047578B"/>
    <w:rsid w:val="00535AE6"/>
    <w:rsid w:val="005B139D"/>
    <w:rsid w:val="00673301"/>
    <w:rsid w:val="00677720"/>
    <w:rsid w:val="007A3268"/>
    <w:rsid w:val="00853562"/>
    <w:rsid w:val="008B40D2"/>
    <w:rsid w:val="00914EEE"/>
    <w:rsid w:val="009171FB"/>
    <w:rsid w:val="00930A8B"/>
    <w:rsid w:val="00947736"/>
    <w:rsid w:val="009906FB"/>
    <w:rsid w:val="009D0762"/>
    <w:rsid w:val="00A04213"/>
    <w:rsid w:val="00A37342"/>
    <w:rsid w:val="00A63C39"/>
    <w:rsid w:val="00BB2960"/>
    <w:rsid w:val="00CA5805"/>
    <w:rsid w:val="00CE4E32"/>
    <w:rsid w:val="00D43EF5"/>
    <w:rsid w:val="00D46913"/>
    <w:rsid w:val="00D92956"/>
    <w:rsid w:val="00DC782F"/>
    <w:rsid w:val="00E934BA"/>
    <w:rsid w:val="00EC6627"/>
    <w:rsid w:val="00ED6C70"/>
    <w:rsid w:val="00F16631"/>
    <w:rsid w:val="00F84013"/>
    <w:rsid w:val="00FA03B8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73B8"/>
  <w15:chartTrackingRefBased/>
  <w15:docId w15:val="{CACD629E-E902-48D7-938B-D0B2453C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F4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450F4E"/>
    <w:rPr>
      <w:rFonts w:eastAsia="Times New Roman"/>
      <w:color w:val="00000A"/>
    </w:rPr>
  </w:style>
  <w:style w:type="paragraph" w:customStyle="1" w:styleId="a4">
    <w:name w:val="ОВ"/>
    <w:rsid w:val="00450F4E"/>
    <w:pPr>
      <w:widowControl w:val="0"/>
      <w:shd w:val="clear" w:color="auto" w:fill="FFFFFF"/>
      <w:suppressAutoHyphens/>
      <w:spacing w:after="120" w:line="360" w:lineRule="auto"/>
      <w:ind w:firstLine="709"/>
      <w:contextualSpacing/>
      <w:jc w:val="both"/>
    </w:pPr>
    <w:rPr>
      <w:rFonts w:ascii="Calibri" w:eastAsia="Times New Roman" w:hAnsi="Calibri" w:cs="Calibri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10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A79C-1D22-47B6-8FAB-B7EBA66E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8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Кожевникова</dc:creator>
  <cp:keywords/>
  <dc:description/>
  <cp:lastModifiedBy>Оксана Кожевникова</cp:lastModifiedBy>
  <cp:revision>27</cp:revision>
  <dcterms:created xsi:type="dcterms:W3CDTF">2017-10-11T19:34:00Z</dcterms:created>
  <dcterms:modified xsi:type="dcterms:W3CDTF">2017-10-15T19:29:00Z</dcterms:modified>
</cp:coreProperties>
</file>